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4B" w:rsidRDefault="0095374B" w:rsidP="00A17FB4">
      <w:pPr>
        <w:jc w:val="center"/>
        <w:rPr>
          <w:sz w:val="24"/>
          <w:lang w:val="en-US"/>
        </w:rPr>
      </w:pPr>
      <w:bookmarkStart w:id="0" w:name="_GoBack"/>
      <w:bookmarkEnd w:id="0"/>
    </w:p>
    <w:p w:rsidR="00491D5F" w:rsidRPr="00974B13" w:rsidRDefault="00A17FB4" w:rsidP="00A17FB4">
      <w:pPr>
        <w:jc w:val="center"/>
        <w:rPr>
          <w:sz w:val="24"/>
        </w:rPr>
      </w:pPr>
      <w:r>
        <w:rPr>
          <w:noProof/>
        </w:rPr>
        <w:t xml:space="preserve">            </w:t>
      </w:r>
      <w:r w:rsidR="00462011" w:rsidRPr="00EA19C9">
        <w:rPr>
          <w:noProof/>
        </w:rPr>
        <w:drawing>
          <wp:inline distT="0" distB="0" distL="0" distR="0" wp14:anchorId="60162975" wp14:editId="4D415E7F">
            <wp:extent cx="2733675" cy="1025128"/>
            <wp:effectExtent l="0" t="0" r="0" b="3810"/>
            <wp:docPr id="1" name="Εικόνα 1" descr="C:\Users\Nikos Seretis\Desktop\SYTATE ΑΠΟ 08 2013\αρχειο πρωτοτυπων\Originals\λογοτυπο συλλογ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 Seretis\Desktop\SYTATE ΑΠΟ 08 2013\αρχειο πρωτοτυπων\Originals\λογοτυπο συλλογο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8" cy="103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5F" w:rsidRPr="006A3B6E" w:rsidRDefault="00491D5F" w:rsidP="00A17FB4">
      <w:pPr>
        <w:ind w:firstLine="709"/>
        <w:jc w:val="center"/>
        <w:rPr>
          <w:rFonts w:ascii="Arial" w:hAnsi="Arial" w:cs="Arial"/>
          <w:b/>
          <w:sz w:val="28"/>
        </w:rPr>
      </w:pPr>
      <w:r w:rsidRPr="006A3B6E">
        <w:rPr>
          <w:rFonts w:ascii="Arial" w:hAnsi="Arial" w:cs="Arial"/>
          <w:b/>
          <w:sz w:val="28"/>
        </w:rPr>
        <w:t>ΣΥΛΛΟΓΟΣ ΕΡΓΑΖΟΜΕΝΩΝ ΣΤΗΝ ΕΘΝΙΚΗ ΤΡΑΠΕΖΑ</w:t>
      </w:r>
    </w:p>
    <w:p w:rsidR="00974B13" w:rsidRPr="006A3B6E" w:rsidRDefault="00974B13" w:rsidP="00A17FB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6A3B6E">
        <w:rPr>
          <w:rFonts w:ascii="Arial" w:hAnsi="Arial" w:cs="Arial"/>
          <w:b/>
          <w:sz w:val="22"/>
          <w:szCs w:val="22"/>
        </w:rPr>
        <w:t>(ΣΥ.ΤΑ.ΤΕ.)</w:t>
      </w:r>
    </w:p>
    <w:p w:rsidR="00491D5F" w:rsidRPr="006A3B6E" w:rsidRDefault="00491D5F" w:rsidP="00A17FB4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6A3B6E">
        <w:rPr>
          <w:rFonts w:ascii="Arial" w:hAnsi="Arial" w:cs="Arial"/>
          <w:b/>
          <w:sz w:val="18"/>
          <w:szCs w:val="18"/>
        </w:rPr>
        <w:t>ΕΤΟΣ ΙΔΡΥΣΕΩΣ 1945</w:t>
      </w:r>
    </w:p>
    <w:p w:rsidR="00491D5F" w:rsidRPr="006A3B6E" w:rsidRDefault="00491D5F" w:rsidP="00A17FB4">
      <w:pPr>
        <w:ind w:firstLine="709"/>
        <w:jc w:val="center"/>
        <w:rPr>
          <w:rFonts w:ascii="Arial" w:hAnsi="Arial" w:cs="Arial"/>
        </w:rPr>
      </w:pPr>
      <w:r w:rsidRPr="006A3B6E">
        <w:rPr>
          <w:rFonts w:ascii="Arial" w:hAnsi="Arial" w:cs="Arial"/>
        </w:rPr>
        <w:t>Αιόλου 86 - 3ος Όροφος – Τ.Κ. 105 59</w:t>
      </w:r>
    </w:p>
    <w:p w:rsidR="00A930AE" w:rsidRPr="00D7189A" w:rsidRDefault="00491D5F" w:rsidP="00A17FB4">
      <w:pPr>
        <w:ind w:firstLine="709"/>
        <w:jc w:val="center"/>
        <w:rPr>
          <w:rFonts w:ascii="Arial" w:hAnsi="Arial" w:cs="Arial"/>
          <w:lang w:val="en-US"/>
        </w:rPr>
      </w:pPr>
      <w:r w:rsidRPr="006A3B6E">
        <w:rPr>
          <w:rFonts w:ascii="Arial" w:hAnsi="Arial" w:cs="Arial"/>
        </w:rPr>
        <w:t>Τηλ</w:t>
      </w:r>
      <w:r w:rsidRPr="00D7189A">
        <w:rPr>
          <w:rFonts w:ascii="Arial" w:hAnsi="Arial" w:cs="Arial"/>
          <w:lang w:val="en-US"/>
        </w:rPr>
        <w:t xml:space="preserve">. 210 3342768 - 9, 210 3342771 – 4, </w:t>
      </w:r>
      <w:r w:rsidRPr="006A3B6E">
        <w:rPr>
          <w:rFonts w:ascii="Arial" w:hAnsi="Arial" w:cs="Arial"/>
          <w:lang w:val="en-US"/>
        </w:rPr>
        <w:t>F</w:t>
      </w:r>
      <w:r w:rsidR="00BB2FD6" w:rsidRPr="006A3B6E">
        <w:rPr>
          <w:rFonts w:ascii="Arial" w:hAnsi="Arial" w:cs="Arial"/>
          <w:lang w:val="en-US"/>
        </w:rPr>
        <w:t>ax</w:t>
      </w:r>
      <w:r w:rsidRPr="00D7189A">
        <w:rPr>
          <w:rFonts w:ascii="Arial" w:hAnsi="Arial" w:cs="Arial"/>
          <w:lang w:val="en-US"/>
        </w:rPr>
        <w:t>:</w:t>
      </w:r>
      <w:r w:rsidR="00F47BDF" w:rsidRPr="00D7189A">
        <w:rPr>
          <w:rFonts w:ascii="Arial" w:hAnsi="Arial" w:cs="Arial"/>
          <w:lang w:val="en-US"/>
        </w:rPr>
        <w:t xml:space="preserve"> </w:t>
      </w:r>
      <w:r w:rsidRPr="00D7189A">
        <w:rPr>
          <w:rFonts w:ascii="Arial" w:hAnsi="Arial" w:cs="Arial"/>
          <w:lang w:val="en-US"/>
        </w:rPr>
        <w:t>210 3342767</w:t>
      </w:r>
    </w:p>
    <w:p w:rsidR="00C8253C" w:rsidRPr="002B4CF8" w:rsidRDefault="0018091C" w:rsidP="00A17FB4">
      <w:pPr>
        <w:ind w:right="-58" w:firstLine="142"/>
        <w:jc w:val="center"/>
        <w:rPr>
          <w:rFonts w:ascii="Arial" w:hAnsi="Arial" w:cs="Arial"/>
          <w:b/>
          <w:lang w:val="en-US"/>
        </w:rPr>
      </w:pPr>
      <w:hyperlink r:id="rId9" w:history="1">
        <w:r w:rsidR="00C8253C" w:rsidRPr="0095056A">
          <w:rPr>
            <w:rStyle w:val="-"/>
            <w:rFonts w:ascii="Arial" w:hAnsi="Arial" w:cs="Arial"/>
            <w:b/>
            <w:lang w:val="en-US"/>
          </w:rPr>
          <w:t>www</w:t>
        </w:r>
        <w:r w:rsidR="00C8253C" w:rsidRPr="002B4CF8">
          <w:rPr>
            <w:rStyle w:val="-"/>
            <w:rFonts w:ascii="Arial" w:hAnsi="Arial" w:cs="Arial"/>
            <w:b/>
            <w:lang w:val="en-US"/>
          </w:rPr>
          <w:t>.</w:t>
        </w:r>
        <w:r w:rsidR="00C8253C" w:rsidRPr="0095056A">
          <w:rPr>
            <w:rStyle w:val="-"/>
            <w:rFonts w:ascii="Arial" w:hAnsi="Arial" w:cs="Arial"/>
            <w:b/>
            <w:lang w:val="en-US"/>
          </w:rPr>
          <w:t>sytate</w:t>
        </w:r>
        <w:r w:rsidR="00C8253C" w:rsidRPr="002B4CF8">
          <w:rPr>
            <w:rStyle w:val="-"/>
            <w:rFonts w:ascii="Arial" w:hAnsi="Arial" w:cs="Arial"/>
            <w:b/>
            <w:lang w:val="en-US"/>
          </w:rPr>
          <w:t>.</w:t>
        </w:r>
        <w:r w:rsidR="00C8253C" w:rsidRPr="0095056A">
          <w:rPr>
            <w:rStyle w:val="-"/>
            <w:rFonts w:ascii="Arial" w:hAnsi="Arial" w:cs="Arial"/>
            <w:b/>
            <w:lang w:val="en-US"/>
          </w:rPr>
          <w:t>gr</w:t>
        </w:r>
      </w:hyperlink>
      <w:r w:rsidR="00C8253C" w:rsidRPr="002B4CF8">
        <w:rPr>
          <w:rStyle w:val="-"/>
          <w:rFonts w:ascii="Arial" w:hAnsi="Arial" w:cs="Arial"/>
          <w:b/>
          <w:lang w:val="en-US"/>
        </w:rPr>
        <w:t xml:space="preserve">  </w:t>
      </w:r>
      <w:r w:rsidR="00C8253C">
        <w:rPr>
          <w:rStyle w:val="-"/>
          <w:rFonts w:ascii="Arial" w:hAnsi="Arial" w:cs="Arial"/>
          <w:b/>
          <w:lang w:val="en-US"/>
        </w:rPr>
        <w:t xml:space="preserve">email : </w:t>
      </w:r>
      <w:hyperlink r:id="rId10" w:history="1">
        <w:r w:rsidR="00C8253C" w:rsidRPr="00F00777">
          <w:rPr>
            <w:rStyle w:val="-"/>
            <w:rFonts w:ascii="Arial" w:hAnsi="Arial" w:cs="Arial"/>
            <w:b/>
            <w:lang w:val="en-US"/>
          </w:rPr>
          <w:t>sytate@otenet.gr</w:t>
        </w:r>
      </w:hyperlink>
      <w:r w:rsidR="00C8253C">
        <w:rPr>
          <w:rStyle w:val="-"/>
          <w:rFonts w:ascii="Arial" w:hAnsi="Arial" w:cs="Arial"/>
          <w:b/>
          <w:lang w:val="en-US"/>
        </w:rPr>
        <w:t xml:space="preserve"> , sytate@nbg.gr</w:t>
      </w:r>
    </w:p>
    <w:p w:rsidR="00CB12D2" w:rsidRPr="00C8253C" w:rsidRDefault="00CB12D2" w:rsidP="0008331A">
      <w:pPr>
        <w:rPr>
          <w:rFonts w:ascii="Arial" w:hAnsi="Arial" w:cs="Arial"/>
          <w:lang w:val="en-US"/>
        </w:rPr>
      </w:pPr>
    </w:p>
    <w:p w:rsidR="009F4920" w:rsidRPr="0062553E" w:rsidRDefault="009F4920" w:rsidP="009F492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2553E">
        <w:rPr>
          <w:rFonts w:ascii="Arial" w:hAnsi="Arial" w:cs="Arial"/>
          <w:b/>
          <w:sz w:val="32"/>
          <w:szCs w:val="32"/>
        </w:rPr>
        <w:t>ΑΝΑΚΟΙΝΩΣΗ</w:t>
      </w:r>
    </w:p>
    <w:p w:rsidR="00A24FC6" w:rsidRPr="00A24FC6" w:rsidRDefault="00A24FC6" w:rsidP="0008331A">
      <w:pPr>
        <w:rPr>
          <w:rFonts w:ascii="Arial" w:hAnsi="Arial" w:cs="Arial"/>
          <w:sz w:val="10"/>
          <w:szCs w:val="10"/>
        </w:rPr>
      </w:pPr>
    </w:p>
    <w:p w:rsidR="00CB12D2" w:rsidRDefault="008136A3" w:rsidP="00CB12D2">
      <w:pPr>
        <w:jc w:val="center"/>
        <w:rPr>
          <w:rFonts w:ascii="Arial" w:hAnsi="Arial" w:cs="Arial"/>
          <w:b/>
          <w:bCs/>
          <w:sz w:val="10"/>
          <w:szCs w:val="10"/>
        </w:rPr>
      </w:pPr>
      <w:r w:rsidRPr="008136A3">
        <w:rPr>
          <w:rFonts w:ascii="Arial" w:hAnsi="Arial" w:cs="Arial"/>
          <w:b/>
          <w:bCs/>
          <w:sz w:val="28"/>
          <w:szCs w:val="28"/>
          <w:lang w:val="en-US"/>
        </w:rPr>
        <w:t>SOS</w:t>
      </w:r>
      <w:r w:rsidRPr="00CB12D2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8136A3">
        <w:rPr>
          <w:rFonts w:ascii="Arial" w:hAnsi="Arial" w:cs="Arial"/>
          <w:b/>
          <w:bCs/>
          <w:sz w:val="28"/>
          <w:szCs w:val="28"/>
        </w:rPr>
        <w:t>ΤΥΠΕΤ ΩΡΑ ΜΗΔΕΝ</w:t>
      </w:r>
    </w:p>
    <w:p w:rsidR="00186FD8" w:rsidRPr="00186FD8" w:rsidRDefault="00186FD8" w:rsidP="00CB12D2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186FD8" w:rsidRPr="0062638E" w:rsidRDefault="00186FD8" w:rsidP="00CB12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638E">
        <w:rPr>
          <w:rFonts w:ascii="Arial" w:hAnsi="Arial" w:cs="Arial"/>
          <w:b/>
          <w:bCs/>
          <w:sz w:val="24"/>
          <w:szCs w:val="24"/>
        </w:rPr>
        <w:t>Έφτασε η ώρα η Διοίκηση να δείξει έμπρακτα τη</w:t>
      </w:r>
      <w:r w:rsidR="00153CC6" w:rsidRPr="0062638E">
        <w:rPr>
          <w:rFonts w:ascii="Arial" w:hAnsi="Arial" w:cs="Arial"/>
          <w:b/>
          <w:bCs/>
          <w:sz w:val="24"/>
          <w:szCs w:val="24"/>
        </w:rPr>
        <w:t>ν οικονομική της  στήριξη</w:t>
      </w:r>
      <w:r w:rsidRPr="0062638E">
        <w:rPr>
          <w:rFonts w:ascii="Arial" w:hAnsi="Arial" w:cs="Arial"/>
          <w:b/>
          <w:bCs/>
          <w:sz w:val="24"/>
          <w:szCs w:val="24"/>
        </w:rPr>
        <w:t>, τόσο στο Ταμείο Υγείας, όσο και στο ΤΑΠΕΤΕ</w:t>
      </w:r>
      <w:r w:rsidR="0062638E" w:rsidRPr="0062638E">
        <w:rPr>
          <w:rFonts w:ascii="Arial" w:hAnsi="Arial" w:cs="Arial"/>
          <w:b/>
          <w:bCs/>
          <w:sz w:val="24"/>
          <w:szCs w:val="24"/>
        </w:rPr>
        <w:t xml:space="preserve">, διότι κι αυτή έχει τις ευθύνες </w:t>
      </w:r>
      <w:r w:rsidR="0062638E">
        <w:rPr>
          <w:rFonts w:ascii="Arial" w:hAnsi="Arial" w:cs="Arial"/>
          <w:b/>
          <w:bCs/>
          <w:sz w:val="24"/>
          <w:szCs w:val="24"/>
        </w:rPr>
        <w:t>της.</w:t>
      </w:r>
    </w:p>
    <w:p w:rsidR="00186FD8" w:rsidRDefault="00186FD8" w:rsidP="00302B2A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62638E" w:rsidRPr="0062638E" w:rsidRDefault="0062638E" w:rsidP="00302B2A">
      <w:pPr>
        <w:spacing w:line="360" w:lineRule="auto"/>
        <w:jc w:val="both"/>
        <w:rPr>
          <w:rFonts w:ascii="Arial" w:hAnsi="Arial" w:cs="Arial"/>
          <w:sz w:val="10"/>
          <w:szCs w:val="10"/>
          <w:lang w:eastAsia="en-US"/>
        </w:rPr>
      </w:pPr>
    </w:p>
    <w:p w:rsidR="00E54433" w:rsidRPr="00186FD8" w:rsidRDefault="00186FD8" w:rsidP="00302B2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A0076">
        <w:rPr>
          <w:rFonts w:ascii="Arial" w:hAnsi="Arial" w:cs="Arial"/>
          <w:b/>
          <w:bCs/>
          <w:sz w:val="24"/>
          <w:szCs w:val="24"/>
          <w:lang w:eastAsia="en-US"/>
        </w:rPr>
        <w:t>Τ</w:t>
      </w:r>
      <w:r w:rsidR="00146B15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ο ΤΥΠΕΤ συμπληρώνει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εφέτος </w:t>
      </w:r>
      <w:r w:rsidR="00146B15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τα </w:t>
      </w:r>
      <w:r w:rsidR="00E54433" w:rsidRPr="009A0076">
        <w:rPr>
          <w:rFonts w:ascii="Arial" w:hAnsi="Arial" w:cs="Arial"/>
          <w:b/>
          <w:bCs/>
          <w:sz w:val="24"/>
          <w:szCs w:val="24"/>
          <w:lang w:eastAsia="en-US"/>
        </w:rPr>
        <w:t>ενενήντα (</w:t>
      </w:r>
      <w:r w:rsidR="00146B15" w:rsidRPr="009A0076">
        <w:rPr>
          <w:rFonts w:ascii="Arial" w:hAnsi="Arial" w:cs="Arial"/>
          <w:b/>
          <w:bCs/>
          <w:sz w:val="24"/>
          <w:szCs w:val="24"/>
          <w:lang w:eastAsia="en-US"/>
        </w:rPr>
        <w:t>90</w:t>
      </w:r>
      <w:r w:rsidR="00E54433" w:rsidRPr="009A0076">
        <w:rPr>
          <w:rFonts w:ascii="Arial" w:hAnsi="Arial" w:cs="Arial"/>
          <w:b/>
          <w:bCs/>
          <w:sz w:val="24"/>
          <w:szCs w:val="24"/>
          <w:lang w:eastAsia="en-US"/>
        </w:rPr>
        <w:t>)</w:t>
      </w:r>
      <w:r w:rsidR="00146B15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χρόνια</w:t>
      </w:r>
      <w:r w:rsidR="008F5F8D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146B15" w:rsidRPr="009A0076">
        <w:rPr>
          <w:rFonts w:ascii="Arial" w:hAnsi="Arial" w:cs="Arial"/>
          <w:b/>
          <w:bCs/>
          <w:sz w:val="24"/>
          <w:szCs w:val="24"/>
          <w:lang w:eastAsia="en-US"/>
        </w:rPr>
        <w:t>λειτουργίας</w:t>
      </w:r>
      <w:r w:rsidR="00E54433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του,</w:t>
      </w:r>
      <w:r w:rsidR="004A44FD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αλλά </w:t>
      </w:r>
      <w:r w:rsidR="00CE2C6E">
        <w:rPr>
          <w:rFonts w:ascii="Arial" w:hAnsi="Arial" w:cs="Arial"/>
          <w:b/>
          <w:bCs/>
          <w:sz w:val="24"/>
          <w:szCs w:val="24"/>
          <w:lang w:eastAsia="en-US"/>
        </w:rPr>
        <w:t xml:space="preserve">δυστυχώς </w:t>
      </w:r>
      <w:r w:rsidR="004B10F6" w:rsidRPr="009A0076">
        <w:rPr>
          <w:rFonts w:ascii="Arial" w:hAnsi="Arial" w:cs="Arial"/>
          <w:b/>
          <w:bCs/>
          <w:sz w:val="24"/>
          <w:szCs w:val="24"/>
          <w:lang w:eastAsia="en-US"/>
        </w:rPr>
        <w:t>όπως μαρτυρούν</w:t>
      </w:r>
      <w:r w:rsidR="00146B15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54433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τα γεγονότα, </w:t>
      </w:r>
      <w:r w:rsidR="008F5F8D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κάποιοι το </w:t>
      </w:r>
      <w:r w:rsidR="00146B15" w:rsidRPr="009A0076">
        <w:rPr>
          <w:rFonts w:ascii="Arial" w:hAnsi="Arial" w:cs="Arial"/>
          <w:b/>
          <w:bCs/>
          <w:sz w:val="24"/>
          <w:szCs w:val="24"/>
          <w:lang w:eastAsia="en-US"/>
        </w:rPr>
        <w:t>οδηγ</w:t>
      </w:r>
      <w:r w:rsidR="008F5F8D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ούν </w:t>
      </w:r>
      <w:r w:rsidR="00146B15" w:rsidRPr="009A0076">
        <w:rPr>
          <w:rFonts w:ascii="Arial" w:hAnsi="Arial" w:cs="Arial"/>
          <w:b/>
          <w:bCs/>
          <w:sz w:val="24"/>
          <w:szCs w:val="24"/>
          <w:lang w:eastAsia="en-US"/>
        </w:rPr>
        <w:t>σε ξαφνικό θάνατο.</w:t>
      </w:r>
    </w:p>
    <w:p w:rsidR="000A1A0B" w:rsidRDefault="00E54433" w:rsidP="00302B2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Το Ταμείο Υγείας ήταν αποτέλεσμα υλοποίησης μιας πρωτοποριακής ιδέας και μιας εξαιρετικής πρωτοβουλίας των εργαζομένων στην Εθνική Τράπεζα, οι οποίοι το ίδρυσαν το 1930, δύο ολόκληρα χρόνια πριν την ίδρυση του </w:t>
      </w:r>
      <w:r w:rsidR="00F41F35">
        <w:rPr>
          <w:rFonts w:ascii="Arial" w:hAnsi="Arial" w:cs="Arial"/>
          <w:sz w:val="24"/>
          <w:szCs w:val="24"/>
          <w:lang w:eastAsia="en-US"/>
        </w:rPr>
        <w:t>εθνικού φορέα κοινωνικής ασφάλισης στη χώρα, του γνωστού</w:t>
      </w:r>
      <w:r w:rsidR="000A1A0B">
        <w:rPr>
          <w:rFonts w:ascii="Arial" w:hAnsi="Arial" w:cs="Arial"/>
          <w:sz w:val="24"/>
          <w:szCs w:val="24"/>
          <w:lang w:eastAsia="en-US"/>
        </w:rPr>
        <w:t xml:space="preserve"> μας ως</w:t>
      </w:r>
      <w:r w:rsidR="00F41F35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ΙΚΑ. </w:t>
      </w:r>
    </w:p>
    <w:p w:rsidR="00CB12D2" w:rsidRDefault="000A1A0B" w:rsidP="00302B2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Αυτή η πρωτοβουλία έμελλε να γράψει μεγάλη ιστορία στο χώρο παροχής υγείας, ειδικότερα μετά την ισχυροποίηση του Ταμείου το 1982, όταν ενοποιήθηκε με τα άλλα δύο μικρότερα Ταμεία του χώρου. </w:t>
      </w:r>
    </w:p>
    <w:p w:rsidR="00D84D82" w:rsidRPr="008F5F8D" w:rsidRDefault="000A1A0B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8F5F8D">
        <w:rPr>
          <w:rFonts w:ascii="Arial" w:hAnsi="Arial" w:cs="Arial"/>
          <w:b/>
          <w:bCs/>
          <w:sz w:val="24"/>
          <w:szCs w:val="24"/>
          <w:lang w:eastAsia="en-US"/>
        </w:rPr>
        <w:t>Στα χρόνια που ακολούθησαν και ειδικότερα μετά το 1993</w:t>
      </w:r>
      <w:r w:rsidR="004B10F6" w:rsidRPr="008F5F8D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Pr="008F5F8D">
        <w:rPr>
          <w:rFonts w:ascii="Arial" w:hAnsi="Arial" w:cs="Arial"/>
          <w:b/>
          <w:bCs/>
          <w:sz w:val="24"/>
          <w:szCs w:val="24"/>
          <w:lang w:eastAsia="en-US"/>
        </w:rPr>
        <w:t xml:space="preserve"> το ΤΥΠΕΤ αναπτύχθηκε βαθμιαία δημιουργώντας μεγάλα αποθεματικά</w:t>
      </w:r>
      <w:r w:rsidR="004B10F6" w:rsidRPr="008F5F8D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Pr="008F5F8D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4B10F6" w:rsidRPr="008F5F8D">
        <w:rPr>
          <w:rFonts w:ascii="Arial" w:hAnsi="Arial" w:cs="Arial"/>
          <w:b/>
          <w:bCs/>
          <w:sz w:val="24"/>
          <w:szCs w:val="24"/>
          <w:lang w:eastAsia="en-US"/>
        </w:rPr>
        <w:t>τα οποία του έδωσαν τη δυνατότητα να επεκτείνει τις δραστηριότητές του και να προχωρήσει σε σημαντικές επενδύσεις</w:t>
      </w:r>
      <w:r w:rsidR="00D84D82" w:rsidRPr="008F5F8D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4B10F6" w:rsidRPr="008F5F8D">
        <w:rPr>
          <w:rFonts w:ascii="Arial" w:hAnsi="Arial" w:cs="Arial"/>
          <w:b/>
          <w:bCs/>
          <w:sz w:val="24"/>
          <w:szCs w:val="24"/>
          <w:lang w:eastAsia="en-US"/>
        </w:rPr>
        <w:t xml:space="preserve"> με την αγορά τεσσάρων όμορων κτιρίων, τα οποία υπερδιπλασίασαν </w:t>
      </w:r>
      <w:r w:rsidR="00D84D82" w:rsidRPr="008F5F8D">
        <w:rPr>
          <w:rFonts w:ascii="Arial" w:hAnsi="Arial" w:cs="Arial"/>
          <w:b/>
          <w:bCs/>
          <w:sz w:val="24"/>
          <w:szCs w:val="24"/>
          <w:lang w:eastAsia="en-US"/>
        </w:rPr>
        <w:t xml:space="preserve">χωροταξικά </w:t>
      </w:r>
      <w:r w:rsidR="004B10F6" w:rsidRPr="008F5F8D">
        <w:rPr>
          <w:rFonts w:ascii="Arial" w:hAnsi="Arial" w:cs="Arial"/>
          <w:b/>
          <w:bCs/>
          <w:sz w:val="24"/>
          <w:szCs w:val="24"/>
          <w:lang w:eastAsia="en-US"/>
        </w:rPr>
        <w:t xml:space="preserve">το Υγείας Μέλαθρον, ταυτόχρονα με τη δημιουργία </w:t>
      </w:r>
      <w:r w:rsidR="00A339D0">
        <w:rPr>
          <w:rFonts w:ascii="Arial" w:hAnsi="Arial" w:cs="Arial"/>
          <w:b/>
          <w:bCs/>
          <w:sz w:val="24"/>
          <w:szCs w:val="24"/>
          <w:lang w:eastAsia="en-US"/>
        </w:rPr>
        <w:t xml:space="preserve">και </w:t>
      </w:r>
      <w:r w:rsidR="004B10F6" w:rsidRPr="008F5F8D">
        <w:rPr>
          <w:rFonts w:ascii="Arial" w:hAnsi="Arial" w:cs="Arial"/>
          <w:b/>
          <w:bCs/>
          <w:sz w:val="24"/>
          <w:szCs w:val="24"/>
          <w:lang w:eastAsia="en-US"/>
        </w:rPr>
        <w:t xml:space="preserve">του Οδοντιατρικού Κέντρου. </w:t>
      </w:r>
    </w:p>
    <w:p w:rsidR="00593E04" w:rsidRDefault="00D84D82" w:rsidP="00302B2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Ό</w:t>
      </w:r>
      <w:r w:rsidR="00A339D0">
        <w:rPr>
          <w:rFonts w:ascii="Arial" w:hAnsi="Arial" w:cs="Arial"/>
          <w:sz w:val="24"/>
          <w:szCs w:val="24"/>
          <w:lang w:eastAsia="en-US"/>
        </w:rPr>
        <w:t>π</w:t>
      </w:r>
      <w:r>
        <w:rPr>
          <w:rFonts w:ascii="Arial" w:hAnsi="Arial" w:cs="Arial"/>
          <w:sz w:val="24"/>
          <w:szCs w:val="24"/>
          <w:lang w:eastAsia="en-US"/>
        </w:rPr>
        <w:t>ως είναι γνωστό, στις εκλογές του 2017, Πρόεδρος του Δ.Σ. του Ταμείου αναδείχτηκε η κ. Β. Βογιατζοπούλου, επί δεκαετίες αποσπασμένη στην ΟΤΟΕ, προερχόμενη κα</w:t>
      </w:r>
      <w:r w:rsidR="00020A12">
        <w:rPr>
          <w:rFonts w:ascii="Arial" w:hAnsi="Arial" w:cs="Arial"/>
          <w:sz w:val="24"/>
          <w:szCs w:val="24"/>
          <w:lang w:eastAsia="en-US"/>
        </w:rPr>
        <w:t>ι αυτή, όπως και οι περισσότεροι</w:t>
      </w:r>
      <w:r>
        <w:rPr>
          <w:rFonts w:ascii="Arial" w:hAnsi="Arial" w:cs="Arial"/>
          <w:sz w:val="24"/>
          <w:szCs w:val="24"/>
          <w:lang w:eastAsia="en-US"/>
        </w:rPr>
        <w:t xml:space="preserve"> Πρόεδροι του ΤΥΠΕΤ, από την Παράταξη της ΔΗΣΥΕ.</w:t>
      </w:r>
      <w:r w:rsidR="00AA35EB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C8253C" w:rsidRDefault="00C8253C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8253C" w:rsidRDefault="00C8253C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93E04" w:rsidRPr="009D7CD9" w:rsidRDefault="00AA35EB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>Οι ελπίδες και οι προσδοκίες των συναδέλφων από τη νέα Διοίκηση ήταν ασφαλώς να ασχοληθ</w:t>
      </w:r>
      <w:r w:rsidR="009D7CD9" w:rsidRPr="009D7CD9">
        <w:rPr>
          <w:rFonts w:ascii="Arial" w:hAnsi="Arial" w:cs="Arial"/>
          <w:b/>
          <w:bCs/>
          <w:sz w:val="24"/>
          <w:szCs w:val="24"/>
          <w:lang w:eastAsia="en-US"/>
        </w:rPr>
        <w:t>εί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και να αντιμετωπίσ</w:t>
      </w:r>
      <w:r w:rsidR="009D7CD9" w:rsidRPr="009D7CD9">
        <w:rPr>
          <w:rFonts w:ascii="Arial" w:hAnsi="Arial" w:cs="Arial"/>
          <w:b/>
          <w:bCs/>
          <w:sz w:val="24"/>
          <w:szCs w:val="24"/>
          <w:lang w:eastAsia="en-US"/>
        </w:rPr>
        <w:t>ει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την οικονομική κατάσταση του Ταμείου, η οποία </w:t>
      </w:r>
      <w:r w:rsidR="00593E04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τα τελευταία χρόνια 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>έδειχνε σημάδια επιδείνωσης</w:t>
      </w:r>
      <w:r w:rsidR="00593E04" w:rsidRPr="009D7CD9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τόσο από τις συνεχείς εθελούσιες εξόδους, όσο και από τα αυξημένα</w:t>
      </w:r>
      <w:r w:rsidR="00593E04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λειτουργικά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κόστη</w:t>
      </w:r>
      <w:r w:rsidR="00593E04" w:rsidRPr="009D7CD9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:rsidR="00A339D0" w:rsidRDefault="00593E04" w:rsidP="00302B2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Το πρόβλημα μάλιστα είχε εντοπιστεί και αναλυθεί διεξοδικά</w:t>
      </w:r>
      <w:r w:rsidR="00020A12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πριν </w:t>
      </w:r>
      <w:r w:rsidR="00A339D0">
        <w:rPr>
          <w:rFonts w:ascii="Arial" w:hAnsi="Arial" w:cs="Arial"/>
          <w:sz w:val="24"/>
          <w:szCs w:val="24"/>
          <w:lang w:eastAsia="en-US"/>
        </w:rPr>
        <w:t xml:space="preserve">από </w:t>
      </w:r>
      <w:r>
        <w:rPr>
          <w:rFonts w:ascii="Arial" w:hAnsi="Arial" w:cs="Arial"/>
          <w:sz w:val="24"/>
          <w:szCs w:val="24"/>
          <w:lang w:eastAsia="en-US"/>
        </w:rPr>
        <w:t xml:space="preserve">τις εκλογές του 2017, με αποτέλεσμα, ο οικονομικός εξορθολογισμός και η βιωσιμότητα του Ταμείου να αποτελέσουν τα κορυφαία προεκλογικά συνθήματα και δεσμεύσεις της ΔΗΣΥΕ. </w:t>
      </w:r>
    </w:p>
    <w:p w:rsidR="00AE16CF" w:rsidRPr="00A339D0" w:rsidRDefault="00402402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A339D0">
        <w:rPr>
          <w:rFonts w:ascii="Arial" w:hAnsi="Arial" w:cs="Arial"/>
          <w:b/>
          <w:bCs/>
          <w:sz w:val="24"/>
          <w:szCs w:val="24"/>
          <w:lang w:eastAsia="en-US"/>
        </w:rPr>
        <w:t>Π</w:t>
      </w:r>
      <w:r w:rsidR="00A339D0" w:rsidRPr="00A339D0">
        <w:rPr>
          <w:rFonts w:ascii="Arial" w:hAnsi="Arial" w:cs="Arial"/>
          <w:b/>
          <w:bCs/>
          <w:sz w:val="24"/>
          <w:szCs w:val="24"/>
          <w:lang w:eastAsia="en-US"/>
        </w:rPr>
        <w:t xml:space="preserve">ώς </w:t>
      </w:r>
      <w:r w:rsidR="00A339D0">
        <w:rPr>
          <w:rFonts w:ascii="Arial" w:hAnsi="Arial" w:cs="Arial"/>
          <w:b/>
          <w:bCs/>
          <w:sz w:val="24"/>
          <w:szCs w:val="24"/>
          <w:lang w:eastAsia="en-US"/>
        </w:rPr>
        <w:t xml:space="preserve">όμως το </w:t>
      </w:r>
      <w:r w:rsidRPr="00A339D0">
        <w:rPr>
          <w:rFonts w:ascii="Arial" w:hAnsi="Arial" w:cs="Arial"/>
          <w:b/>
          <w:bCs/>
          <w:sz w:val="24"/>
          <w:szCs w:val="24"/>
          <w:lang w:eastAsia="en-US"/>
        </w:rPr>
        <w:t xml:space="preserve">διαχειρίστηκε η κ. Βογιατζοπούλου και το νέο Δ.Σ.? </w:t>
      </w:r>
    </w:p>
    <w:p w:rsidR="009D7CD9" w:rsidRPr="00CE190A" w:rsidRDefault="00AE16CF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>Από μ</w:t>
      </w:r>
      <w:r w:rsidR="00402402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ια γρήγορη ανάγνωση των 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>Α</w:t>
      </w:r>
      <w:r w:rsidR="00402402" w:rsidRPr="009D7CD9">
        <w:rPr>
          <w:rFonts w:ascii="Arial" w:hAnsi="Arial" w:cs="Arial"/>
          <w:b/>
          <w:bCs/>
          <w:sz w:val="24"/>
          <w:szCs w:val="24"/>
          <w:lang w:eastAsia="en-US"/>
        </w:rPr>
        <w:t>πολογισμών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402402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όπως κατατέθηκαν στις Γενικές Συνελεύσεις, καθώς και 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>τ</w:t>
      </w:r>
      <w:r w:rsidR="00402402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ου «πλάνου 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>Α</w:t>
      </w:r>
      <w:r w:rsidR="00402402" w:rsidRPr="009D7CD9">
        <w:rPr>
          <w:rFonts w:ascii="Arial" w:hAnsi="Arial" w:cs="Arial"/>
          <w:b/>
          <w:bCs/>
          <w:sz w:val="24"/>
          <w:szCs w:val="24"/>
          <w:lang w:eastAsia="en-US"/>
        </w:rPr>
        <w:t>ναδιοργάνωσης του ΤΥΠΕΤ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>»</w:t>
      </w:r>
      <w:r>
        <w:rPr>
          <w:rFonts w:ascii="Arial" w:hAnsi="Arial" w:cs="Arial"/>
          <w:sz w:val="24"/>
          <w:szCs w:val="24"/>
          <w:lang w:eastAsia="en-US"/>
        </w:rPr>
        <w:t xml:space="preserve"> (και όχι μελέτη βιωσιμότητας), που </w:t>
      </w:r>
      <w:r w:rsidR="00402402">
        <w:rPr>
          <w:rFonts w:ascii="Arial" w:hAnsi="Arial" w:cs="Arial"/>
          <w:sz w:val="24"/>
          <w:szCs w:val="24"/>
          <w:lang w:eastAsia="en-US"/>
        </w:rPr>
        <w:t xml:space="preserve">συντάχτηκε από την </w:t>
      </w:r>
      <w:r>
        <w:rPr>
          <w:rFonts w:ascii="Arial" w:hAnsi="Arial" w:cs="Arial"/>
          <w:sz w:val="24"/>
          <w:szCs w:val="24"/>
          <w:lang w:eastAsia="en-US"/>
        </w:rPr>
        <w:t xml:space="preserve">ελέγκτρια εταιρία της Εθνικής Τράπεζας, </w:t>
      </w:r>
      <w:r w:rsidR="00402402" w:rsidRPr="00AE16CF">
        <w:rPr>
          <w:rFonts w:ascii="Arial" w:hAnsi="Arial" w:cs="Arial"/>
          <w:sz w:val="24"/>
          <w:szCs w:val="24"/>
        </w:rPr>
        <w:t>Price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</w:t>
      </w:r>
      <w:r w:rsidR="00402402" w:rsidRPr="00AE16CF">
        <w:rPr>
          <w:rFonts w:ascii="Arial" w:hAnsi="Arial" w:cs="Arial"/>
          <w:sz w:val="24"/>
          <w:szCs w:val="24"/>
        </w:rPr>
        <w:t>ater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</w:t>
      </w:r>
      <w:r w:rsidR="00402402" w:rsidRPr="00AE16CF">
        <w:rPr>
          <w:rFonts w:ascii="Arial" w:hAnsi="Arial" w:cs="Arial"/>
          <w:sz w:val="24"/>
          <w:szCs w:val="24"/>
        </w:rPr>
        <w:t>ouse</w:t>
      </w:r>
      <w:r w:rsidRPr="00AE16C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05316">
        <w:rPr>
          <w:rFonts w:ascii="Arial" w:hAnsi="Arial" w:cs="Arial"/>
          <w:i/>
          <w:iCs/>
          <w:sz w:val="24"/>
          <w:szCs w:val="24"/>
          <w:lang w:eastAsia="en-US"/>
        </w:rPr>
        <w:t>(</w:t>
      </w:r>
      <w:r w:rsidR="00402402" w:rsidRPr="00A05316">
        <w:rPr>
          <w:rFonts w:ascii="Arial" w:hAnsi="Arial" w:cs="Arial"/>
          <w:i/>
          <w:iCs/>
          <w:sz w:val="24"/>
          <w:szCs w:val="24"/>
        </w:rPr>
        <w:t>εταιρεία παροχής υπηρεσιών λογιστικής, τήρησης βιβλίων</w:t>
      </w:r>
      <w:r w:rsidRPr="00A05316">
        <w:rPr>
          <w:rFonts w:ascii="Arial" w:hAnsi="Arial" w:cs="Arial"/>
          <w:i/>
          <w:iCs/>
          <w:sz w:val="24"/>
          <w:szCs w:val="24"/>
        </w:rPr>
        <w:t>, ε</w:t>
      </w:r>
      <w:r w:rsidR="00402402" w:rsidRPr="00A05316">
        <w:rPr>
          <w:rFonts w:ascii="Arial" w:hAnsi="Arial" w:cs="Arial"/>
          <w:i/>
          <w:iCs/>
          <w:sz w:val="24"/>
          <w:szCs w:val="24"/>
        </w:rPr>
        <w:t>λέγχου και παροχής φορολογικών συμβουλών</w:t>
      </w:r>
      <w:r w:rsidRPr="00A05316"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9D7CD9">
        <w:rPr>
          <w:rFonts w:ascii="Arial" w:hAnsi="Arial" w:cs="Arial"/>
          <w:b/>
          <w:bCs/>
          <w:sz w:val="24"/>
          <w:szCs w:val="24"/>
        </w:rPr>
        <w:t>προκύπτουν τα παρακάτω οικονομικά στοιχεία:</w:t>
      </w:r>
    </w:p>
    <w:tbl>
      <w:tblPr>
        <w:tblStyle w:val="a3"/>
        <w:tblW w:w="83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068"/>
        <w:gridCol w:w="2839"/>
        <w:gridCol w:w="2518"/>
      </w:tblGrid>
      <w:tr w:rsidR="00C8253C" w:rsidRPr="00C8253C" w:rsidTr="00153CC6">
        <w:trPr>
          <w:trHeight w:val="304"/>
          <w:jc w:val="center"/>
        </w:trPr>
        <w:tc>
          <w:tcPr>
            <w:tcW w:w="938" w:type="dxa"/>
            <w:vAlign w:val="center"/>
          </w:tcPr>
          <w:p w:rsidR="00C8253C" w:rsidRPr="00C8253C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Έτος</w:t>
            </w:r>
          </w:p>
        </w:tc>
        <w:tc>
          <w:tcPr>
            <w:tcW w:w="2068" w:type="dxa"/>
            <w:vAlign w:val="center"/>
          </w:tcPr>
          <w:p w:rsidR="00C8253C" w:rsidRPr="002922A7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Αποτέλεσμα Χρήσης</w:t>
            </w:r>
          </w:p>
        </w:tc>
        <w:tc>
          <w:tcPr>
            <w:tcW w:w="2839" w:type="dxa"/>
            <w:vAlign w:val="center"/>
          </w:tcPr>
          <w:p w:rsidR="00C8253C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Στοιχεία</w:t>
            </w:r>
            <w:r w:rsidRPr="00C8253C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PWH</w:t>
            </w:r>
          </w:p>
          <w:p w:rsidR="00C8253C" w:rsidRPr="00C8253C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C8253C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(</w:t>
            </w:r>
            <w:r w:rsidRPr="00C8253C">
              <w:rPr>
                <w:rFonts w:ascii="Arial" w:hAnsi="Arial" w:cs="Arial"/>
                <w:b/>
                <w:sz w:val="24"/>
                <w:szCs w:val="24"/>
                <w:lang w:val="en-US"/>
              </w:rPr>
              <w:t>Price Water House)</w:t>
            </w:r>
          </w:p>
        </w:tc>
        <w:tc>
          <w:tcPr>
            <w:tcW w:w="2518" w:type="dxa"/>
          </w:tcPr>
          <w:p w:rsidR="00C8253C" w:rsidRPr="00C8253C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Δημοσιευμένοι Ισολογισμοί ΤΥΠΕΤ</w:t>
            </w:r>
          </w:p>
        </w:tc>
      </w:tr>
      <w:tr w:rsidR="00C8253C" w:rsidTr="00153CC6">
        <w:trPr>
          <w:trHeight w:val="304"/>
          <w:jc w:val="center"/>
        </w:trPr>
        <w:tc>
          <w:tcPr>
            <w:tcW w:w="938" w:type="dxa"/>
            <w:vAlign w:val="bottom"/>
          </w:tcPr>
          <w:p w:rsidR="00C8253C" w:rsidRPr="00CE190A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068" w:type="dxa"/>
            <w:vAlign w:val="bottom"/>
          </w:tcPr>
          <w:p w:rsidR="00C8253C" w:rsidRPr="00CE190A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Έλλειμα</w:t>
            </w:r>
          </w:p>
        </w:tc>
        <w:tc>
          <w:tcPr>
            <w:tcW w:w="2839" w:type="dxa"/>
            <w:vAlign w:val="bottom"/>
          </w:tcPr>
          <w:p w:rsidR="00C8253C" w:rsidRPr="00CE190A" w:rsidRDefault="00C8253C" w:rsidP="00C825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€  2.705.985</w:t>
            </w:r>
          </w:p>
        </w:tc>
        <w:tc>
          <w:tcPr>
            <w:tcW w:w="2518" w:type="dxa"/>
            <w:vAlign w:val="bottom"/>
          </w:tcPr>
          <w:p w:rsidR="00C8253C" w:rsidRPr="00CE190A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€ 4.807.480,64</w:t>
            </w:r>
          </w:p>
        </w:tc>
      </w:tr>
      <w:tr w:rsidR="00C8253C" w:rsidTr="00153CC6">
        <w:trPr>
          <w:trHeight w:val="304"/>
          <w:jc w:val="center"/>
        </w:trPr>
        <w:tc>
          <w:tcPr>
            <w:tcW w:w="938" w:type="dxa"/>
            <w:vAlign w:val="bottom"/>
          </w:tcPr>
          <w:p w:rsidR="00C8253C" w:rsidRPr="00CE190A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068" w:type="dxa"/>
            <w:vAlign w:val="bottom"/>
          </w:tcPr>
          <w:p w:rsidR="00C8253C" w:rsidRPr="00CE190A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Έλλειμα </w:t>
            </w:r>
          </w:p>
        </w:tc>
        <w:tc>
          <w:tcPr>
            <w:tcW w:w="2839" w:type="dxa"/>
            <w:vAlign w:val="bottom"/>
          </w:tcPr>
          <w:p w:rsidR="00C8253C" w:rsidRPr="00CE190A" w:rsidRDefault="00C8253C" w:rsidP="00C825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€  7.686.465</w:t>
            </w:r>
          </w:p>
        </w:tc>
        <w:tc>
          <w:tcPr>
            <w:tcW w:w="2518" w:type="dxa"/>
            <w:vAlign w:val="center"/>
          </w:tcPr>
          <w:p w:rsidR="00C8253C" w:rsidRPr="00CE190A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€ 6.260.548,41</w:t>
            </w:r>
          </w:p>
        </w:tc>
      </w:tr>
      <w:tr w:rsidR="00C8253C" w:rsidTr="00153CC6">
        <w:trPr>
          <w:trHeight w:val="304"/>
          <w:jc w:val="center"/>
        </w:trPr>
        <w:tc>
          <w:tcPr>
            <w:tcW w:w="938" w:type="dxa"/>
            <w:vAlign w:val="bottom"/>
          </w:tcPr>
          <w:p w:rsidR="00C8253C" w:rsidRPr="00CE190A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68" w:type="dxa"/>
            <w:vAlign w:val="bottom"/>
          </w:tcPr>
          <w:p w:rsidR="00C8253C" w:rsidRPr="00CE190A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Έλλειμα </w:t>
            </w:r>
          </w:p>
        </w:tc>
        <w:tc>
          <w:tcPr>
            <w:tcW w:w="2839" w:type="dxa"/>
            <w:vAlign w:val="bottom"/>
          </w:tcPr>
          <w:p w:rsidR="00C8253C" w:rsidRPr="00CE190A" w:rsidRDefault="00C8253C" w:rsidP="00C825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€  8.401.328</w:t>
            </w:r>
          </w:p>
        </w:tc>
        <w:tc>
          <w:tcPr>
            <w:tcW w:w="2518" w:type="dxa"/>
            <w:vAlign w:val="bottom"/>
          </w:tcPr>
          <w:p w:rsidR="00C8253C" w:rsidRPr="00CE190A" w:rsidRDefault="00C8253C" w:rsidP="002922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€ 7.050.399,72</w:t>
            </w:r>
          </w:p>
        </w:tc>
      </w:tr>
      <w:tr w:rsidR="00C8253C" w:rsidTr="00153CC6">
        <w:trPr>
          <w:trHeight w:val="304"/>
          <w:jc w:val="center"/>
        </w:trPr>
        <w:tc>
          <w:tcPr>
            <w:tcW w:w="3006" w:type="dxa"/>
            <w:gridSpan w:val="2"/>
            <w:vAlign w:val="bottom"/>
          </w:tcPr>
          <w:p w:rsidR="00C8253C" w:rsidRPr="00CE190A" w:rsidRDefault="00C8253C" w:rsidP="00186F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Σωρευτικό Έλλειμα Τριετίας</w:t>
            </w:r>
          </w:p>
        </w:tc>
        <w:tc>
          <w:tcPr>
            <w:tcW w:w="2839" w:type="dxa"/>
            <w:vAlign w:val="center"/>
          </w:tcPr>
          <w:p w:rsidR="00C8253C" w:rsidRPr="00CE190A" w:rsidRDefault="00C8253C" w:rsidP="00C825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€ 18.793.778</w:t>
            </w:r>
          </w:p>
        </w:tc>
        <w:tc>
          <w:tcPr>
            <w:tcW w:w="2518" w:type="dxa"/>
            <w:vAlign w:val="center"/>
          </w:tcPr>
          <w:p w:rsidR="00C8253C" w:rsidRPr="00CE190A" w:rsidRDefault="00C8253C" w:rsidP="00C825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E190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€ 18.118.428,77</w:t>
            </w:r>
          </w:p>
        </w:tc>
      </w:tr>
    </w:tbl>
    <w:p w:rsidR="009D7CD9" w:rsidRDefault="009D7CD9" w:rsidP="00302B2A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  <w:lang w:eastAsia="en-US"/>
        </w:rPr>
      </w:pPr>
    </w:p>
    <w:p w:rsidR="00CD1298" w:rsidRPr="009D7CD9" w:rsidRDefault="00713D13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Ο</w:t>
      </w:r>
      <w:r w:rsidR="00CD1298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ι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βραχυπρόθεσμες </w:t>
      </w:r>
      <w:r w:rsidR="00CD1298" w:rsidRPr="009D7CD9">
        <w:rPr>
          <w:rFonts w:ascii="Arial" w:hAnsi="Arial" w:cs="Arial"/>
          <w:b/>
          <w:bCs/>
          <w:sz w:val="24"/>
          <w:szCs w:val="24"/>
          <w:lang w:eastAsia="en-US"/>
        </w:rPr>
        <w:t>υποχρεώσεις προς τα συμβεβλημένα Δημόσια και Ιδιωτικά Νοσοκομεία, καθώς και προς τα διάφορα εργαστήρια</w:t>
      </w:r>
      <w:r w:rsidR="00BA3F81">
        <w:rPr>
          <w:rFonts w:ascii="Arial" w:hAnsi="Arial" w:cs="Arial"/>
          <w:b/>
          <w:bCs/>
          <w:sz w:val="24"/>
          <w:szCs w:val="24"/>
          <w:lang w:eastAsia="en-US"/>
        </w:rPr>
        <w:t>, για</w:t>
      </w:r>
      <w:r w:rsidR="00CD1298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το 2018,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CD1298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ξεπερνούσαν τα 22 εκατομμύρια ευρώ, ενώ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σύμφωνα 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με την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πρόσφατη 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>έκθεση της Εξελεγκτικής Επιτροπής του ΤΥΠΕΤ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, στις 31/08/2020 το ποσό εκτινάχτηκε στα 31,3 εκατομμύρια ευρώ. </w:t>
      </w:r>
      <w:r w:rsidR="00CD1298" w:rsidRPr="009D7CD9">
        <w:rPr>
          <w:rFonts w:ascii="Arial" w:hAnsi="Arial" w:cs="Arial"/>
          <w:b/>
          <w:bCs/>
          <w:sz w:val="24"/>
          <w:szCs w:val="24"/>
          <w:lang w:eastAsia="en-US"/>
        </w:rPr>
        <w:t>Αν</w:t>
      </w:r>
      <w:r w:rsidR="00CE2C6E">
        <w:rPr>
          <w:rFonts w:ascii="Arial" w:hAnsi="Arial" w:cs="Arial"/>
          <w:b/>
          <w:bCs/>
          <w:sz w:val="24"/>
          <w:szCs w:val="24"/>
          <w:lang w:eastAsia="en-US"/>
        </w:rPr>
        <w:t xml:space="preserve"> λοιπόν</w:t>
      </w:r>
      <w:r w:rsidR="00CD1298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στα παραπάνω προσθέσουμε και τα 17 εκατομμύρια του δοσοληπτικού Λογαριασμού (330), τότε σχηματίζουμε μια πλήρη εικόνα της τραγικής οικονομικής κατάστασης του Ταμείου. </w:t>
      </w:r>
    </w:p>
    <w:p w:rsidR="00CB12D2" w:rsidRPr="009D7CD9" w:rsidRDefault="00CD1298" w:rsidP="00302B2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Δυστυχώς</w:t>
      </w:r>
      <w:r w:rsidR="00262E46" w:rsidRPr="00262E46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οι περισσότεροι συνάδελφοι δεν τα γνωρίζουν αυτά</w:t>
      </w:r>
      <w:r w:rsidR="00DF678F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DF678F" w:rsidRPr="009635D9">
        <w:rPr>
          <w:rFonts w:ascii="Arial" w:hAnsi="Arial" w:cs="Arial"/>
          <w:b/>
          <w:bCs/>
          <w:sz w:val="24"/>
          <w:szCs w:val="24"/>
          <w:lang w:eastAsia="en-US"/>
        </w:rPr>
        <w:t xml:space="preserve">ενώ </w:t>
      </w:r>
      <w:r w:rsidR="00A339D0" w:rsidRPr="009635D9">
        <w:rPr>
          <w:rFonts w:ascii="Arial" w:hAnsi="Arial" w:cs="Arial"/>
          <w:b/>
          <w:bCs/>
          <w:sz w:val="24"/>
          <w:szCs w:val="24"/>
          <w:lang w:eastAsia="en-US"/>
        </w:rPr>
        <w:t xml:space="preserve">η Πρόεδρος </w:t>
      </w:r>
      <w:r w:rsidR="00DF678F" w:rsidRPr="009635D9">
        <w:rPr>
          <w:rFonts w:ascii="Arial" w:hAnsi="Arial" w:cs="Arial"/>
          <w:b/>
          <w:bCs/>
          <w:sz w:val="24"/>
          <w:szCs w:val="24"/>
          <w:lang w:eastAsia="en-US"/>
        </w:rPr>
        <w:t>του Ταμείου,</w:t>
      </w:r>
      <w:r w:rsidR="00DF678F">
        <w:rPr>
          <w:rFonts w:ascii="Arial" w:hAnsi="Arial" w:cs="Arial"/>
          <w:sz w:val="24"/>
          <w:szCs w:val="24"/>
          <w:lang w:eastAsia="en-US"/>
        </w:rPr>
        <w:t xml:space="preserve"> κάθε τρεις και λίγο, με συνεχή δημοσιεύματ</w:t>
      </w:r>
      <w:r w:rsidR="00A339D0">
        <w:rPr>
          <w:rFonts w:ascii="Arial" w:hAnsi="Arial" w:cs="Arial"/>
          <w:sz w:val="24"/>
          <w:szCs w:val="24"/>
          <w:lang w:eastAsia="en-US"/>
        </w:rPr>
        <w:t>α</w:t>
      </w:r>
      <w:r w:rsidR="00A2555A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0B1E89" w:rsidRPr="00A339D0">
        <w:rPr>
          <w:rFonts w:ascii="Arial" w:hAnsi="Arial" w:cs="Arial"/>
          <w:b/>
          <w:bCs/>
          <w:sz w:val="24"/>
          <w:szCs w:val="24"/>
          <w:lang w:eastAsia="en-US"/>
        </w:rPr>
        <w:t xml:space="preserve">προβάλλει </w:t>
      </w:r>
      <w:r w:rsidR="00DF678F" w:rsidRPr="00A339D0">
        <w:rPr>
          <w:rFonts w:ascii="Arial" w:hAnsi="Arial" w:cs="Arial"/>
          <w:b/>
          <w:bCs/>
          <w:sz w:val="24"/>
          <w:szCs w:val="24"/>
          <w:lang w:eastAsia="en-US"/>
        </w:rPr>
        <w:t>μια μαγική εικόνα για το ΤΥΠΕΤ και την παροχή υπηρεσιών του</w:t>
      </w:r>
      <w:r w:rsidR="000B1E89" w:rsidRPr="00A339D0">
        <w:rPr>
          <w:rFonts w:ascii="Arial" w:hAnsi="Arial" w:cs="Arial"/>
          <w:b/>
          <w:bCs/>
          <w:sz w:val="24"/>
          <w:szCs w:val="24"/>
          <w:lang w:eastAsia="en-US"/>
        </w:rPr>
        <w:t xml:space="preserve">, προϊόν ακριβώς αυτής της </w:t>
      </w:r>
      <w:r w:rsidR="00280538">
        <w:rPr>
          <w:rFonts w:ascii="Arial" w:hAnsi="Arial" w:cs="Arial"/>
          <w:b/>
          <w:bCs/>
          <w:sz w:val="24"/>
          <w:szCs w:val="24"/>
          <w:lang w:eastAsia="en-US"/>
        </w:rPr>
        <w:t xml:space="preserve">άριστης </w:t>
      </w:r>
      <w:r w:rsidR="000B1E89" w:rsidRPr="00A339D0">
        <w:rPr>
          <w:rFonts w:ascii="Arial" w:hAnsi="Arial" w:cs="Arial"/>
          <w:b/>
          <w:bCs/>
          <w:sz w:val="24"/>
          <w:szCs w:val="24"/>
          <w:lang w:eastAsia="en-US"/>
        </w:rPr>
        <w:t xml:space="preserve">επικοινωνιακής </w:t>
      </w:r>
      <w:r w:rsidR="00280538">
        <w:rPr>
          <w:rFonts w:ascii="Arial" w:hAnsi="Arial" w:cs="Arial"/>
          <w:b/>
          <w:bCs/>
          <w:sz w:val="24"/>
          <w:szCs w:val="24"/>
          <w:lang w:eastAsia="en-US"/>
        </w:rPr>
        <w:t>της τακτικής</w:t>
      </w:r>
      <w:r w:rsidR="00DF678F" w:rsidRPr="00A339D0">
        <w:rPr>
          <w:rFonts w:ascii="Arial" w:hAnsi="Arial" w:cs="Arial"/>
          <w:b/>
          <w:bCs/>
          <w:sz w:val="24"/>
          <w:szCs w:val="24"/>
          <w:lang w:eastAsia="en-US"/>
        </w:rPr>
        <w:t xml:space="preserve">. </w:t>
      </w:r>
    </w:p>
    <w:p w:rsidR="009D7CD9" w:rsidRPr="009D7CD9" w:rsidRDefault="00DF678F" w:rsidP="009D7CD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Αναρωτιόμαστε, </w:t>
      </w:r>
      <w:r w:rsidR="009D7CD9">
        <w:rPr>
          <w:rFonts w:ascii="Arial" w:hAnsi="Arial" w:cs="Arial"/>
          <w:b/>
          <w:bCs/>
          <w:sz w:val="24"/>
          <w:szCs w:val="24"/>
          <w:lang w:eastAsia="en-US"/>
        </w:rPr>
        <w:t>όμως:</w:t>
      </w:r>
      <w:r w:rsidR="009D7CD9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:rsidR="00CD4D70" w:rsidRPr="009D7CD9" w:rsidRDefault="009D7CD9" w:rsidP="009D7CD9">
      <w:pPr>
        <w:pStyle w:val="ac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Π</w:t>
      </w:r>
      <w:r w:rsidR="00DF678F" w:rsidRPr="009D7CD9">
        <w:rPr>
          <w:rFonts w:ascii="Arial" w:hAnsi="Arial" w:cs="Arial"/>
          <w:b/>
          <w:bCs/>
          <w:sz w:val="24"/>
          <w:szCs w:val="24"/>
          <w:lang w:eastAsia="en-US"/>
        </w:rPr>
        <w:t>όσα από τα 25 μέλη του Δ.Σ. γνωρίζουν το πλάνο Αναδιάρθρωσης του ΤΥΠΕΤ</w:t>
      </w:r>
      <w:r w:rsidR="00262E46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και πόσα από αυτά το </w:t>
      </w:r>
      <w:r w:rsidR="00DF678F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έχουν διαβάσει? </w:t>
      </w:r>
    </w:p>
    <w:p w:rsidR="009D7CD9" w:rsidRPr="009D7CD9" w:rsidRDefault="00DF678F" w:rsidP="009D7CD9">
      <w:pPr>
        <w:pStyle w:val="ac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Ποιες άλλες προτάσεις </w:t>
      </w:r>
      <w:r w:rsidR="00CD4D70" w:rsidRPr="009D7CD9">
        <w:rPr>
          <w:rFonts w:ascii="Arial" w:hAnsi="Arial" w:cs="Arial"/>
          <w:b/>
          <w:bCs/>
          <w:sz w:val="24"/>
          <w:szCs w:val="24"/>
          <w:lang w:eastAsia="en-US"/>
        </w:rPr>
        <w:t>περιλαμβάνοντα</w:t>
      </w:r>
      <w:r w:rsidR="00262E46" w:rsidRPr="009D7CD9">
        <w:rPr>
          <w:rFonts w:ascii="Arial" w:hAnsi="Arial" w:cs="Arial"/>
          <w:b/>
          <w:bCs/>
          <w:sz w:val="24"/>
          <w:szCs w:val="24"/>
          <w:lang w:eastAsia="en-US"/>
        </w:rPr>
        <w:t>ι σε αυτό το πλάνο</w:t>
      </w:r>
      <w:r w:rsidR="00CD4D70" w:rsidRPr="009D7CD9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εκτός από τις οικονομικές?</w:t>
      </w:r>
      <w:r w:rsidR="00262E46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:rsidR="009D7CD9" w:rsidRPr="009D7CD9" w:rsidRDefault="00262E46" w:rsidP="009D7CD9">
      <w:pPr>
        <w:pStyle w:val="ac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Από ποιους και με ποιες παραδοχές συντάχθηκε? </w:t>
      </w:r>
    </w:p>
    <w:p w:rsidR="009D7CD9" w:rsidRPr="009D7CD9" w:rsidRDefault="00DF678F" w:rsidP="009D7CD9">
      <w:pPr>
        <w:pStyle w:val="ac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Οι διαπιστώσεις και </w:t>
      </w:r>
      <w:r w:rsidR="00262E46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τα συμπεράσματα 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>ανταποκρίνονται στην πραγματικότητα?</w:t>
      </w:r>
      <w:r w:rsidR="00262E46" w:rsidRPr="009D7CD9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CD4D70" w:rsidRPr="009D7CD9" w:rsidRDefault="00CD4D70" w:rsidP="009D7CD9">
      <w:pPr>
        <w:pStyle w:val="ac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>Τ</w:t>
      </w:r>
      <w:r w:rsidR="00DF678F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έλος, η Πρόεδρος του ΤΥΠΕΤ, ως μοναδική και προνομιακή συνομιλητής της 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>Διοίκησης</w:t>
      </w:r>
      <w:r w:rsidR="00DF678F" w:rsidRPr="009D7CD9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ποιες δεσμεύσεις έχει αναλάβει απέναντί της, για όλα αυτά?</w:t>
      </w:r>
      <w:r w:rsidR="00DF678F" w:rsidRPr="009D7CD9">
        <w:rPr>
          <w:rFonts w:ascii="Arial" w:hAnsi="Arial" w:cs="Arial"/>
          <w:b/>
          <w:bCs/>
          <w:sz w:val="24"/>
          <w:szCs w:val="24"/>
          <w:lang w:eastAsia="en-US"/>
        </w:rPr>
        <w:t xml:space="preserve">  </w:t>
      </w:r>
    </w:p>
    <w:p w:rsidR="00CE2C6E" w:rsidRPr="00D34CB8" w:rsidRDefault="00CB0EDA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8136A3">
        <w:rPr>
          <w:rFonts w:ascii="Arial" w:hAnsi="Arial" w:cs="Arial"/>
          <w:sz w:val="24"/>
          <w:szCs w:val="24"/>
          <w:lang w:eastAsia="en-US"/>
        </w:rPr>
        <w:t>Ν</w:t>
      </w:r>
      <w:r w:rsidR="00CD4D70" w:rsidRPr="008136A3">
        <w:rPr>
          <w:rFonts w:ascii="Arial" w:hAnsi="Arial" w:cs="Arial"/>
          <w:sz w:val="24"/>
          <w:szCs w:val="24"/>
          <w:lang w:eastAsia="en-US"/>
        </w:rPr>
        <w:t>α σημειωθεί</w:t>
      </w:r>
      <w:r w:rsidR="00262E46" w:rsidRPr="008136A3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CD4D70" w:rsidRPr="008136A3">
        <w:rPr>
          <w:rFonts w:ascii="Arial" w:hAnsi="Arial" w:cs="Arial"/>
          <w:sz w:val="24"/>
          <w:szCs w:val="24"/>
          <w:lang w:eastAsia="en-US"/>
        </w:rPr>
        <w:t>ότι σύμφωνα με τη</w:t>
      </w:r>
      <w:r w:rsidR="00A339D0">
        <w:rPr>
          <w:rFonts w:ascii="Arial" w:hAnsi="Arial" w:cs="Arial"/>
          <w:sz w:val="24"/>
          <w:szCs w:val="24"/>
          <w:lang w:eastAsia="en-US"/>
        </w:rPr>
        <w:t>ν</w:t>
      </w:r>
      <w:r w:rsidR="00CD4D70" w:rsidRPr="008136A3">
        <w:rPr>
          <w:rFonts w:ascii="Arial" w:hAnsi="Arial" w:cs="Arial"/>
          <w:sz w:val="24"/>
          <w:szCs w:val="24"/>
          <w:lang w:eastAsia="en-US"/>
        </w:rPr>
        <w:t xml:space="preserve"> Επιχειρησιακή Σύμβαση του 201</w:t>
      </w:r>
      <w:r w:rsidR="000B1E89" w:rsidRPr="008136A3">
        <w:rPr>
          <w:rFonts w:ascii="Arial" w:hAnsi="Arial" w:cs="Arial"/>
          <w:sz w:val="24"/>
          <w:szCs w:val="24"/>
          <w:lang w:eastAsia="en-US"/>
        </w:rPr>
        <w:t>6</w:t>
      </w:r>
      <w:r w:rsidR="00CD4D70" w:rsidRPr="008136A3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262E46" w:rsidRPr="008136A3">
        <w:rPr>
          <w:rFonts w:ascii="Arial" w:hAnsi="Arial" w:cs="Arial"/>
          <w:sz w:val="24"/>
          <w:szCs w:val="24"/>
          <w:lang w:eastAsia="en-US"/>
        </w:rPr>
        <w:t xml:space="preserve">η Τράπεζα </w:t>
      </w:r>
      <w:r w:rsidR="001A235F" w:rsidRPr="008136A3">
        <w:rPr>
          <w:rFonts w:ascii="Arial" w:hAnsi="Arial" w:cs="Arial"/>
          <w:sz w:val="24"/>
          <w:szCs w:val="24"/>
          <w:lang w:eastAsia="en-US"/>
        </w:rPr>
        <w:t>συμφώνησε να καταβάλει</w:t>
      </w:r>
      <w:r w:rsidR="00262E46" w:rsidRPr="008136A3">
        <w:rPr>
          <w:rFonts w:ascii="Arial" w:hAnsi="Arial" w:cs="Arial"/>
          <w:sz w:val="24"/>
          <w:szCs w:val="24"/>
          <w:lang w:eastAsia="en-US"/>
        </w:rPr>
        <w:t>,</w:t>
      </w:r>
      <w:r w:rsidR="00CD4D70" w:rsidRPr="008136A3">
        <w:rPr>
          <w:rFonts w:ascii="Arial" w:hAnsi="Arial" w:cs="Arial"/>
          <w:sz w:val="24"/>
          <w:szCs w:val="24"/>
          <w:lang w:eastAsia="en-US"/>
        </w:rPr>
        <w:t xml:space="preserve"> ως ενίσχυση </w:t>
      </w:r>
      <w:r w:rsidR="00FF0F5B" w:rsidRPr="008136A3">
        <w:rPr>
          <w:rFonts w:ascii="Arial" w:hAnsi="Arial" w:cs="Arial"/>
          <w:sz w:val="24"/>
          <w:szCs w:val="24"/>
          <w:lang w:eastAsia="en-US"/>
        </w:rPr>
        <w:t xml:space="preserve">του </w:t>
      </w:r>
      <w:r w:rsidR="00CD4D70" w:rsidRPr="008136A3">
        <w:rPr>
          <w:rFonts w:ascii="Arial" w:hAnsi="Arial" w:cs="Arial"/>
          <w:sz w:val="24"/>
          <w:szCs w:val="24"/>
          <w:lang w:eastAsia="en-US"/>
        </w:rPr>
        <w:t>ΤΥΠΕΤ</w:t>
      </w:r>
      <w:r w:rsidR="00262E46" w:rsidRPr="008136A3">
        <w:rPr>
          <w:rFonts w:ascii="Arial" w:hAnsi="Arial" w:cs="Arial"/>
          <w:sz w:val="24"/>
          <w:szCs w:val="24"/>
          <w:lang w:eastAsia="en-US"/>
        </w:rPr>
        <w:t>,</w:t>
      </w:r>
      <w:r w:rsidR="00CD4D70" w:rsidRPr="008136A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B1E89" w:rsidRPr="008136A3">
        <w:rPr>
          <w:rFonts w:ascii="Arial" w:hAnsi="Arial" w:cs="Arial"/>
          <w:sz w:val="24"/>
          <w:szCs w:val="24"/>
          <w:lang w:eastAsia="en-US"/>
        </w:rPr>
        <w:t xml:space="preserve">για τα έτη 2017, 2018 και 2019, </w:t>
      </w:r>
      <w:r w:rsidR="00CD4D70" w:rsidRPr="008136A3">
        <w:rPr>
          <w:rFonts w:ascii="Arial" w:hAnsi="Arial" w:cs="Arial"/>
          <w:sz w:val="24"/>
          <w:szCs w:val="24"/>
          <w:lang w:eastAsia="en-US"/>
        </w:rPr>
        <w:t xml:space="preserve">τα ποσά των 2.350.000, 2.350.000 και </w:t>
      </w:r>
      <w:r w:rsidR="00457262">
        <w:rPr>
          <w:rFonts w:ascii="Arial" w:hAnsi="Arial" w:cs="Arial"/>
          <w:sz w:val="24"/>
          <w:szCs w:val="24"/>
          <w:lang w:eastAsia="en-US"/>
        </w:rPr>
        <w:t>2</w:t>
      </w:r>
      <w:r w:rsidR="00CD4D70" w:rsidRPr="008136A3">
        <w:rPr>
          <w:rFonts w:ascii="Arial" w:hAnsi="Arial" w:cs="Arial"/>
          <w:sz w:val="24"/>
          <w:szCs w:val="24"/>
          <w:lang w:eastAsia="en-US"/>
        </w:rPr>
        <w:t>.350.000</w:t>
      </w:r>
      <w:r w:rsidR="000B1E89" w:rsidRPr="008136A3">
        <w:rPr>
          <w:rFonts w:ascii="Arial" w:hAnsi="Arial" w:cs="Arial"/>
          <w:sz w:val="24"/>
          <w:szCs w:val="24"/>
          <w:lang w:eastAsia="en-US"/>
        </w:rPr>
        <w:t>, αντίστοιχα</w:t>
      </w:r>
      <w:r w:rsidR="00FF0F5B" w:rsidRPr="008136A3">
        <w:rPr>
          <w:rFonts w:ascii="Arial" w:hAnsi="Arial" w:cs="Arial"/>
          <w:sz w:val="24"/>
          <w:szCs w:val="24"/>
          <w:lang w:eastAsia="en-US"/>
        </w:rPr>
        <w:t xml:space="preserve"> για κάθε έτος</w:t>
      </w:r>
      <w:r w:rsidR="000B1E89" w:rsidRPr="008136A3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0B1E89" w:rsidRPr="00CE2C6E">
        <w:rPr>
          <w:rFonts w:ascii="Arial" w:hAnsi="Arial" w:cs="Arial"/>
          <w:sz w:val="24"/>
          <w:szCs w:val="24"/>
          <w:lang w:eastAsia="en-US"/>
        </w:rPr>
        <w:t xml:space="preserve">πράγμα που σημαίνει, </w:t>
      </w:r>
      <w:r w:rsidR="000B1E89" w:rsidRPr="00D34CB8">
        <w:rPr>
          <w:rFonts w:ascii="Arial" w:hAnsi="Arial" w:cs="Arial"/>
          <w:b/>
          <w:bCs/>
          <w:sz w:val="24"/>
          <w:szCs w:val="24"/>
          <w:lang w:eastAsia="en-US"/>
        </w:rPr>
        <w:t xml:space="preserve">ότι το 2019 το λειτουργικό έλλειμα του Ταμείου </w:t>
      </w:r>
      <w:r w:rsidR="00457262">
        <w:rPr>
          <w:rFonts w:ascii="Arial" w:hAnsi="Arial" w:cs="Arial"/>
          <w:b/>
          <w:bCs/>
          <w:sz w:val="24"/>
          <w:szCs w:val="24"/>
          <w:lang w:eastAsia="en-US"/>
        </w:rPr>
        <w:t>είναι πολύ μεγαλύτερο</w:t>
      </w:r>
      <w:r w:rsidR="000B1E89" w:rsidRPr="00D34CB8">
        <w:rPr>
          <w:rFonts w:ascii="Arial" w:hAnsi="Arial" w:cs="Arial"/>
          <w:b/>
          <w:bCs/>
          <w:sz w:val="24"/>
          <w:szCs w:val="24"/>
          <w:lang w:eastAsia="en-US"/>
        </w:rPr>
        <w:t>.</w:t>
      </w:r>
      <w:r w:rsidR="00457262">
        <w:rPr>
          <w:rFonts w:ascii="Arial" w:hAnsi="Arial" w:cs="Arial"/>
          <w:b/>
          <w:bCs/>
          <w:sz w:val="24"/>
          <w:szCs w:val="24"/>
          <w:lang w:eastAsia="en-US"/>
        </w:rPr>
        <w:t xml:space="preserve"> Επίσης πολλά ερωτηματικά προκαλεί και η επιπρόσθετη οικονομική ενίσχυση της Τράπεζας ύψους 3.000.000 το 2019.</w:t>
      </w:r>
      <w:r w:rsidR="000B1E89" w:rsidRPr="00D34CB8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:rsidR="001A235F" w:rsidRPr="001A235F" w:rsidRDefault="00CB0EDA" w:rsidP="00302B2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8136A3">
        <w:rPr>
          <w:rFonts w:ascii="Arial" w:hAnsi="Arial" w:cs="Arial"/>
          <w:sz w:val="24"/>
          <w:szCs w:val="24"/>
          <w:lang w:eastAsia="en-US"/>
        </w:rPr>
        <w:t>Στο σημείο αυτό</w:t>
      </w:r>
      <w:r>
        <w:rPr>
          <w:rFonts w:ascii="Arial" w:hAnsi="Arial" w:cs="Arial"/>
          <w:sz w:val="24"/>
          <w:szCs w:val="24"/>
          <w:lang w:eastAsia="en-US"/>
        </w:rPr>
        <w:t xml:space="preserve"> όμως προβληματιζόμαστε και για το γεγονός, ότι ο αντιπροσωπευτικότερος Σύλλογος, που τόσο «ανησυχεί» για τα Ταμεία μας, σε προηγούμενες εθελούσιες </w:t>
      </w:r>
      <w:r w:rsidR="006F2C82">
        <w:rPr>
          <w:rFonts w:ascii="Arial" w:hAnsi="Arial" w:cs="Arial"/>
          <w:sz w:val="24"/>
          <w:szCs w:val="24"/>
          <w:lang w:eastAsia="en-US"/>
        </w:rPr>
        <w:t>εξόδους</w:t>
      </w:r>
      <w:r w:rsidR="00CE2C6E">
        <w:rPr>
          <w:rFonts w:ascii="Arial" w:hAnsi="Arial" w:cs="Arial"/>
          <w:sz w:val="24"/>
          <w:szCs w:val="24"/>
          <w:lang w:eastAsia="en-US"/>
        </w:rPr>
        <w:t>,</w:t>
      </w:r>
      <w:r w:rsidR="006F2C82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δεν απαίτησε αντίστοιχες Επιχειρησιακές Συμβάσεις, οι οποίες θα διασφάλιζαν οικονομικά</w:t>
      </w:r>
      <w:r w:rsidR="006F2C82"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 xml:space="preserve">τόσο το ΤΥΠΕΤ, όσο και το Ταμείο Αυτασφάλειας (Εφάπαξ). </w:t>
      </w:r>
    </w:p>
    <w:p w:rsidR="008136A3" w:rsidRDefault="001A235F" w:rsidP="00302B2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Ένα άλλο στοιχείο το οποίο δείχνει τον τρόπο Διοίκησης και Διαχείρισης του Ταμείου</w:t>
      </w:r>
      <w:r w:rsidR="00DF678F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FF0F5B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[από 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τη «μια Γυναικός αρχή»</w:t>
      </w:r>
      <w:r w:rsidR="00FF0F5B" w:rsidRPr="008136A3">
        <w:rPr>
          <w:rFonts w:ascii="Arial" w:hAnsi="Arial" w:cs="Arial"/>
          <w:b/>
          <w:bCs/>
          <w:sz w:val="24"/>
          <w:szCs w:val="24"/>
          <w:lang w:eastAsia="en-US"/>
        </w:rPr>
        <w:t>]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, αποτελούν οι αυξομειώσεις στις δαπάνες προσωπικού, οι οποίες </w:t>
      </w:r>
      <w:r w:rsidR="00FF0F5B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για 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το 2017 ανέρχονταν σ</w:t>
      </w:r>
      <w:r w:rsidR="00FF0F5B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το ποσό των 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17 εκ. ευρώ, το 2018 μειώθηκαν</w:t>
      </w:r>
      <w:r w:rsidR="00FF0F5B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στα 16, 4 εκ. ευρώ (αλλά η μείωση ήταν αποτέλεσμα της περικοπής του επιδόματος ισολογισμού των εργαζομένων), ενώ το 2019 εκτοξεύονται στα 17,8 εκ. ευρώ, ύστερα από τις αθρόες προσλήψεις</w:t>
      </w:r>
      <w:r w:rsidR="00457262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="007724B9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«φίλα προσκείμενων» Συνεργατών (οι οποίοι </w:t>
      </w:r>
      <w:r w:rsidR="007724B9" w:rsidRPr="008136A3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 xml:space="preserve">δεν κάνουν απολύτως τίποτα), καθώς και «κολλητών» ειδικών Συμβούλων (σε τι?), </w:t>
      </w:r>
      <w:r w:rsidR="007724B9" w:rsidRPr="008136A3">
        <w:rPr>
          <w:rFonts w:ascii="Arial" w:hAnsi="Arial" w:cs="Arial"/>
          <w:sz w:val="24"/>
          <w:szCs w:val="24"/>
          <w:lang w:eastAsia="en-US"/>
        </w:rPr>
        <w:t>χωρίς κανένα σχέδιο, καμία μελέτη, κανένα έργο,</w:t>
      </w:r>
      <w:r w:rsidR="007724B9">
        <w:rPr>
          <w:rFonts w:ascii="Arial" w:hAnsi="Arial" w:cs="Arial"/>
          <w:sz w:val="24"/>
          <w:szCs w:val="24"/>
          <w:lang w:eastAsia="en-US"/>
        </w:rPr>
        <w:t xml:space="preserve"> καμία αξιολόγηση και καμία στοχοθεσία, αλλά όλοι τους με παχυλότατες μηνιαίες αποδοχές. </w:t>
      </w:r>
    </w:p>
    <w:p w:rsidR="009A0076" w:rsidRDefault="004F2513" w:rsidP="009A0076">
      <w:pPr>
        <w:spacing w:line="360" w:lineRule="auto"/>
        <w:jc w:val="both"/>
        <w:rPr>
          <w:rStyle w:val="a8"/>
          <w:rFonts w:ascii="Arial" w:hAnsi="Arial" w:cs="Arial"/>
          <w:b/>
          <w:bCs/>
          <w:i w:val="0"/>
          <w:iCs w:val="0"/>
          <w:sz w:val="24"/>
          <w:szCs w:val="24"/>
        </w:rPr>
      </w:pP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Η πρόσληψη Διευθύντριας Δομών Υγείας, με υπόδειξη </w:t>
      </w:r>
      <w:r w:rsidR="006067AA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και επιλογή 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της </w:t>
      </w:r>
      <w:r w:rsidRPr="008136A3">
        <w:rPr>
          <w:rFonts w:ascii="Arial" w:hAnsi="Arial" w:cs="Arial"/>
          <w:b/>
          <w:bCs/>
          <w:sz w:val="24"/>
          <w:szCs w:val="24"/>
          <w:lang w:val="en-US" w:eastAsia="en-US"/>
        </w:rPr>
        <w:t>PWC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(άρα της Τράπεζας),</w:t>
      </w:r>
      <w:r w:rsidR="006067AA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για την εφαρμογή του πλάνου αναδιάρθρωσης, εντάσσεται επίσης στην ίδια λογική. Βέβαια και το ίδιο το πλάνο, που συντάχτηκε από την </w:t>
      </w:r>
      <w:r w:rsidR="006067AA" w:rsidRPr="008136A3">
        <w:rPr>
          <w:rFonts w:ascii="Arial" w:hAnsi="Arial" w:cs="Arial"/>
          <w:b/>
          <w:bCs/>
          <w:sz w:val="24"/>
          <w:szCs w:val="24"/>
          <w:lang w:val="en-US" w:eastAsia="en-US"/>
        </w:rPr>
        <w:t>PWC</w:t>
      </w:r>
      <w:r w:rsidR="006067AA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για λογαριασμό της Τράπεζας, δεν περιλαμβάνει κανένα από τα χαρακτηριστικά στοιχεία που διέπουν τον αυτοδιαχειριζόμενο χαρακτήρα </w:t>
      </w:r>
      <w:r w:rsidR="001B6900" w:rsidRPr="008136A3">
        <w:rPr>
          <w:rFonts w:ascii="Arial" w:hAnsi="Arial" w:cs="Arial"/>
          <w:b/>
          <w:bCs/>
          <w:sz w:val="24"/>
          <w:szCs w:val="24"/>
          <w:lang w:eastAsia="en-US"/>
        </w:rPr>
        <w:t>του Ταμείου, αντίθετα</w:t>
      </w:r>
      <w:r w:rsidR="00CE2C6E">
        <w:rPr>
          <w:rFonts w:ascii="Arial" w:hAnsi="Arial" w:cs="Arial"/>
          <w:b/>
          <w:bCs/>
          <w:sz w:val="24"/>
          <w:szCs w:val="24"/>
          <w:lang w:eastAsia="en-US"/>
        </w:rPr>
        <w:t xml:space="preserve"> με </w:t>
      </w:r>
      <w:r w:rsidR="001B6900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τις συχνές αναφορές του στα ιδιωτικοοικονομικά κριτήρια της αγοράς. Προφανώς στο πλαίσιο αυτό εντάσσεται και η τελευταία απόφαση για την πλήρη ένταξή μας στο σύστημα ηλεκτρονικής </w:t>
      </w:r>
      <w:r w:rsidR="001B6900" w:rsidRPr="008136A3">
        <w:rPr>
          <w:rStyle w:val="a8"/>
          <w:rFonts w:ascii="Arial" w:hAnsi="Arial" w:cs="Arial"/>
          <w:b/>
          <w:bCs/>
          <w:i w:val="0"/>
          <w:iCs w:val="0"/>
          <w:sz w:val="24"/>
          <w:szCs w:val="24"/>
        </w:rPr>
        <w:t>συνταγογράφησης</w:t>
      </w:r>
      <w:r w:rsidR="00E7108F" w:rsidRPr="008136A3">
        <w:rPr>
          <w:rStyle w:val="a8"/>
          <w:rFonts w:ascii="Arial" w:hAnsi="Arial" w:cs="Arial"/>
          <w:b/>
          <w:bCs/>
          <w:i w:val="0"/>
          <w:iCs w:val="0"/>
          <w:sz w:val="24"/>
          <w:szCs w:val="24"/>
        </w:rPr>
        <w:t xml:space="preserve">, η οποία - πέρα από τις ιατρικές επιπτώσεις, θα έχει και σημαντικό οικονομικό κόστος, αφού θα ελαχιστοποιήσει τη συμμετοχή του Ταμείου στις φαρμακευτικές δαπάνες των ασφαλισμένων. </w:t>
      </w:r>
    </w:p>
    <w:p w:rsidR="00907AA5" w:rsidRPr="009A0076" w:rsidRDefault="007724B9" w:rsidP="009A007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9A0076">
        <w:rPr>
          <w:rFonts w:ascii="Arial" w:hAnsi="Arial" w:cs="Arial"/>
          <w:sz w:val="24"/>
          <w:szCs w:val="24"/>
          <w:lang w:eastAsia="en-US"/>
        </w:rPr>
        <w:t>Και ενώ συμβαίνουν όλα αυτά</w:t>
      </w:r>
      <w:r w:rsidR="001367D8" w:rsidRPr="009A0076">
        <w:rPr>
          <w:rFonts w:ascii="Arial" w:hAnsi="Arial" w:cs="Arial"/>
          <w:sz w:val="24"/>
          <w:szCs w:val="24"/>
          <w:lang w:eastAsia="en-US"/>
        </w:rPr>
        <w:t>,</w:t>
      </w:r>
      <w:r w:rsidRPr="009A007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A0076">
        <w:rPr>
          <w:rFonts w:ascii="Arial" w:hAnsi="Arial" w:cs="Arial"/>
          <w:sz w:val="24"/>
          <w:szCs w:val="24"/>
          <w:lang w:eastAsia="en-US"/>
        </w:rPr>
        <w:t>τα οποία</w:t>
      </w:r>
      <w:r w:rsidR="005565B8" w:rsidRPr="009A007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οδηγούν το ΤΥΠΕΤ </w:t>
      </w:r>
      <w:r w:rsidR="00977DC1">
        <w:rPr>
          <w:rFonts w:ascii="Arial" w:hAnsi="Arial" w:cs="Arial"/>
          <w:b/>
          <w:bCs/>
          <w:sz w:val="24"/>
          <w:szCs w:val="24"/>
          <w:lang w:eastAsia="en-US"/>
        </w:rPr>
        <w:t xml:space="preserve">μαθηματικά 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στα </w:t>
      </w:r>
      <w:r w:rsidR="008136A3" w:rsidRPr="009A0076">
        <w:rPr>
          <w:rFonts w:ascii="Arial" w:hAnsi="Arial" w:cs="Arial"/>
          <w:b/>
          <w:bCs/>
          <w:sz w:val="24"/>
          <w:szCs w:val="24"/>
          <w:lang w:eastAsia="en-US"/>
        </w:rPr>
        <w:t>βήματα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του ΛΕΠΕΤΕ</w:t>
      </w:r>
      <w:r w:rsidR="009A0076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9A0076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η </w:t>
      </w:r>
      <w:r w:rsidR="001367D8" w:rsidRPr="009A0076">
        <w:rPr>
          <w:rFonts w:ascii="Arial" w:hAnsi="Arial" w:cs="Arial"/>
          <w:b/>
          <w:bCs/>
          <w:sz w:val="24"/>
          <w:szCs w:val="24"/>
          <w:lang w:eastAsia="en-US"/>
        </w:rPr>
        <w:t>ηγεμόνας Πρόεδρος συνεχίζει να βασιλεύει «παραταξιακώ δικαίω», τα μέλη της ΔΗΣΥΕ και της ΔΑΚΕ (συνδιοίκηση γαρ), παρακολουθούν βολεμέν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>α</w:t>
      </w:r>
      <w:r w:rsidR="001367D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>[</w:t>
      </w:r>
      <w:r w:rsidR="001367D8" w:rsidRPr="009A0076">
        <w:rPr>
          <w:rFonts w:ascii="Arial" w:hAnsi="Arial" w:cs="Arial"/>
          <w:b/>
          <w:bCs/>
          <w:sz w:val="24"/>
          <w:szCs w:val="24"/>
          <w:lang w:eastAsia="en-US"/>
        </w:rPr>
        <w:t>«μοιραίοι και άβουλοι αντάμα»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>]</w:t>
      </w:r>
      <w:r w:rsidR="001367D8" w:rsidRPr="009A0076">
        <w:rPr>
          <w:rFonts w:ascii="Arial" w:hAnsi="Arial" w:cs="Arial"/>
          <w:b/>
          <w:bCs/>
          <w:sz w:val="24"/>
          <w:szCs w:val="24"/>
          <w:lang w:eastAsia="en-US"/>
        </w:rPr>
        <w:t>, την καταστροφή που έρχεται, ενώ τα μέλη των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άλλων (λαλίστατων </w:t>
      </w:r>
      <w:r w:rsidR="00E7108F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και πολυγραφότατων 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>σε άλλες περιπτώσεις)</w:t>
      </w:r>
      <w:r w:rsidR="001367D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Παρατάξεων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1367D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σφυρίζουν αδιάφορα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1367D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κοιτάζοντας «τα τρένα που περνούν»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(άντε μαζί και με κανένα ρουσφετάκι)</w:t>
      </w:r>
      <w:r w:rsidR="001367D8" w:rsidRPr="009A0076">
        <w:rPr>
          <w:rFonts w:ascii="Arial" w:hAnsi="Arial" w:cs="Arial"/>
          <w:b/>
          <w:bCs/>
          <w:sz w:val="24"/>
          <w:szCs w:val="24"/>
          <w:lang w:eastAsia="en-US"/>
        </w:rPr>
        <w:t>, αφού κανείς τους δεν έχει συνειδητοποιήσει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ακόμη, </w:t>
      </w:r>
      <w:r w:rsidR="001367D8" w:rsidRPr="009A0076">
        <w:rPr>
          <w:rFonts w:ascii="Arial" w:hAnsi="Arial" w:cs="Arial"/>
          <w:b/>
          <w:bCs/>
          <w:sz w:val="24"/>
          <w:szCs w:val="24"/>
          <w:lang w:eastAsia="en-US"/>
        </w:rPr>
        <w:t>ότι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 τις περισσότερες φορές </w:t>
      </w:r>
      <w:r w:rsidR="00CE2C6E">
        <w:rPr>
          <w:rFonts w:ascii="Arial" w:hAnsi="Arial" w:cs="Arial"/>
          <w:b/>
          <w:bCs/>
          <w:sz w:val="24"/>
          <w:szCs w:val="24"/>
          <w:lang w:eastAsia="en-US"/>
        </w:rPr>
        <w:t>«</w:t>
      </w:r>
      <w:r w:rsidR="001367D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η σιωπή 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>δεν είναι χρυσός</w:t>
      </w:r>
      <w:r w:rsidR="00CE2C6E">
        <w:rPr>
          <w:rFonts w:ascii="Arial" w:hAnsi="Arial" w:cs="Arial"/>
          <w:b/>
          <w:bCs/>
          <w:sz w:val="24"/>
          <w:szCs w:val="24"/>
          <w:lang w:eastAsia="en-US"/>
        </w:rPr>
        <w:t>»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, όπως νομίζουν, αλλά </w:t>
      </w:r>
      <w:r w:rsidR="00CE2C6E">
        <w:rPr>
          <w:rFonts w:ascii="Arial" w:hAnsi="Arial" w:cs="Arial"/>
          <w:b/>
          <w:bCs/>
          <w:sz w:val="24"/>
          <w:szCs w:val="24"/>
          <w:lang w:eastAsia="en-US"/>
        </w:rPr>
        <w:t>«</w:t>
      </w:r>
      <w:r w:rsidR="005565B8" w:rsidRPr="009A0076">
        <w:rPr>
          <w:rFonts w:ascii="Arial" w:hAnsi="Arial" w:cs="Arial"/>
          <w:b/>
          <w:bCs/>
          <w:sz w:val="24"/>
          <w:szCs w:val="24"/>
          <w:lang w:eastAsia="en-US"/>
        </w:rPr>
        <w:t xml:space="preserve">συμμετοχή και </w:t>
      </w:r>
      <w:r w:rsidR="001367D8" w:rsidRPr="009A0076">
        <w:rPr>
          <w:rFonts w:ascii="Arial" w:hAnsi="Arial" w:cs="Arial"/>
          <w:b/>
          <w:bCs/>
          <w:sz w:val="24"/>
          <w:szCs w:val="24"/>
          <w:lang w:eastAsia="en-US"/>
        </w:rPr>
        <w:t>συνενοχή».</w:t>
      </w:r>
    </w:p>
    <w:p w:rsidR="008F5F8D" w:rsidRPr="008136A3" w:rsidRDefault="00907AA5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Όσοι τόλμησαν να</w:t>
      </w:r>
      <w:r w:rsidR="006320D9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αντισταθούν και να ορθώσουν ανάστημα</w:t>
      </w:r>
      <w:r w:rsidR="00E7108F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σε αυτή την κατάσταση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, λοιδορήθηκαν</w:t>
      </w:r>
      <w:r w:rsid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με άριστους επικοινωνιακούς τρόπους,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 εκδιωχτήκαν</w:t>
      </w:r>
      <w:r w:rsid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ή 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τοποθετήθηκαν στο </w:t>
      </w:r>
      <w:r w:rsidR="00783A61" w:rsidRPr="008136A3">
        <w:rPr>
          <w:rFonts w:ascii="Arial" w:hAnsi="Arial" w:cs="Arial"/>
          <w:b/>
          <w:bCs/>
          <w:sz w:val="24"/>
          <w:szCs w:val="24"/>
          <w:lang w:eastAsia="en-US"/>
        </w:rPr>
        <w:t>«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κρεβάτι του Προκρούστη</w:t>
      </w:r>
      <w:r w:rsidR="00783A61" w:rsidRPr="008136A3">
        <w:rPr>
          <w:rFonts w:ascii="Arial" w:hAnsi="Arial" w:cs="Arial"/>
          <w:b/>
          <w:bCs/>
          <w:sz w:val="24"/>
          <w:szCs w:val="24"/>
          <w:lang w:eastAsia="en-US"/>
        </w:rPr>
        <w:t>»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, ενώ ορισμένοι άλλοι, αφού κλήθηκαν σε «ακρόαση» και μπροστά στον κίνδυνο να</w:t>
      </w:r>
      <w:r w:rsidR="00A05316">
        <w:rPr>
          <w:rFonts w:ascii="Arial" w:hAnsi="Arial" w:cs="Arial"/>
          <w:b/>
          <w:bCs/>
          <w:sz w:val="24"/>
          <w:szCs w:val="24"/>
          <w:lang w:eastAsia="en-US"/>
        </w:rPr>
        <w:t xml:space="preserve"> βρεθούν «εκτός νυμφώνος»</w:t>
      </w:r>
      <w:r w:rsidR="006320D9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, ξεπούλησαν αρχές και ιδεολογίες, δήλωσαν μετάνοια, 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συνθηκολόγησαν και προσκύνησαν, ομολογώντας </w:t>
      </w:r>
      <w:r w:rsidR="00A339D0">
        <w:rPr>
          <w:rFonts w:ascii="Arial" w:hAnsi="Arial" w:cs="Arial"/>
          <w:b/>
          <w:bCs/>
          <w:sz w:val="24"/>
          <w:szCs w:val="24"/>
          <w:lang w:eastAsia="en-US"/>
        </w:rPr>
        <w:t xml:space="preserve">αιώνια 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πίστη στην Ηγεμόνα και </w:t>
      </w:r>
      <w:r w:rsidR="006320D9" w:rsidRPr="008136A3">
        <w:rPr>
          <w:rFonts w:ascii="Arial" w:hAnsi="Arial" w:cs="Arial"/>
          <w:b/>
          <w:bCs/>
          <w:sz w:val="24"/>
          <w:szCs w:val="24"/>
          <w:lang w:eastAsia="en-US"/>
        </w:rPr>
        <w:t>σ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το Διευθυντήριο</w:t>
      </w:r>
      <w:r w:rsidR="006320D9" w:rsidRPr="008136A3">
        <w:rPr>
          <w:rFonts w:ascii="Arial" w:hAnsi="Arial" w:cs="Arial"/>
          <w:b/>
          <w:bCs/>
          <w:sz w:val="24"/>
          <w:szCs w:val="24"/>
          <w:lang w:eastAsia="en-US"/>
        </w:rPr>
        <w:t>.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:rsidR="00A05316" w:rsidRDefault="00470340" w:rsidP="00302B2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Στ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ο πλαίσιο 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αυτ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>ό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εντάσσεται</w:t>
      </w:r>
      <w:r w:rsidR="00783A61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και η 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εκπαραθύρωση κορυφαίου </w:t>
      </w:r>
      <w:r w:rsidR="00311ACC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συνδικαλιστικού 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στελέχους, </w:t>
      </w:r>
      <w:r w:rsidR="008F5F8D" w:rsidRPr="008136A3">
        <w:rPr>
          <w:rFonts w:ascii="Arial" w:hAnsi="Arial" w:cs="Arial"/>
          <w:b/>
          <w:bCs/>
          <w:sz w:val="24"/>
          <w:szCs w:val="24"/>
          <w:lang w:eastAsia="en-US"/>
        </w:rPr>
        <w:t>τ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ο οποίο </w:t>
      </w:r>
      <w:r w:rsidR="00311ACC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αρχικά 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είχε επιλεγεί </w:t>
      </w:r>
      <w:r w:rsidR="00311ACC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- 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παμψηφεί </w:t>
      </w:r>
      <w:r w:rsidR="00311ACC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- 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>από τη ΔΗΣΥΕ</w:t>
      </w:r>
      <w:r w:rsidR="00311ACC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="00A339D0">
        <w:rPr>
          <w:rFonts w:ascii="Arial" w:hAnsi="Arial" w:cs="Arial"/>
          <w:b/>
          <w:bCs/>
          <w:sz w:val="24"/>
          <w:szCs w:val="24"/>
          <w:lang w:eastAsia="en-US"/>
        </w:rPr>
        <w:t xml:space="preserve">για </w:t>
      </w:r>
      <w:r w:rsidR="008F5F8D" w:rsidRPr="008136A3">
        <w:rPr>
          <w:rFonts w:ascii="Arial" w:hAnsi="Arial" w:cs="Arial"/>
          <w:b/>
          <w:bCs/>
          <w:sz w:val="24"/>
          <w:szCs w:val="24"/>
          <w:lang w:eastAsia="en-US"/>
        </w:rPr>
        <w:t>να ηγηθεί</w:t>
      </w:r>
      <w:r w:rsidR="00A0531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>του ψηφοδελτίου «Υγεία</w:t>
      </w:r>
      <w:r w:rsidR="00977DC1">
        <w:rPr>
          <w:rFonts w:ascii="Arial" w:hAnsi="Arial" w:cs="Arial"/>
          <w:b/>
          <w:bCs/>
          <w:sz w:val="24"/>
          <w:szCs w:val="24"/>
          <w:lang w:eastAsia="en-US"/>
        </w:rPr>
        <w:t xml:space="preserve"> -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Φροντίδα - Πρόοδος»</w:t>
      </w:r>
      <w:r w:rsidR="008F5F8D" w:rsidRPr="008136A3">
        <w:rPr>
          <w:rFonts w:ascii="Arial" w:hAnsi="Arial" w:cs="Arial"/>
          <w:b/>
          <w:bCs/>
          <w:sz w:val="24"/>
          <w:szCs w:val="24"/>
          <w:lang w:eastAsia="en-US"/>
        </w:rPr>
        <w:t>, καθώς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>και η πραξικοπηματική</w:t>
      </w:r>
      <w:r w:rsidR="00093723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376AA5">
        <w:rPr>
          <w:rFonts w:ascii="Arial" w:hAnsi="Arial" w:cs="Arial"/>
          <w:b/>
          <w:bCs/>
          <w:sz w:val="24"/>
          <w:szCs w:val="24"/>
          <w:lang w:eastAsia="en-US"/>
        </w:rPr>
        <w:t>στη συνέχεια</w:t>
      </w:r>
      <w:r w:rsidR="00093723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376AA5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8F5F8D" w:rsidRPr="008136A3">
        <w:rPr>
          <w:rFonts w:ascii="Arial" w:hAnsi="Arial" w:cs="Arial"/>
          <w:b/>
          <w:bCs/>
          <w:sz w:val="24"/>
          <w:szCs w:val="24"/>
          <w:lang w:eastAsia="en-US"/>
        </w:rPr>
        <w:t>«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>αντικατάστασή</w:t>
      </w:r>
      <w:r w:rsidR="008F5F8D" w:rsidRPr="008136A3">
        <w:rPr>
          <w:rFonts w:ascii="Arial" w:hAnsi="Arial" w:cs="Arial"/>
          <w:b/>
          <w:bCs/>
          <w:sz w:val="24"/>
          <w:szCs w:val="24"/>
          <w:lang w:eastAsia="en-US"/>
        </w:rPr>
        <w:t>»</w:t>
      </w:r>
      <w:r w:rsidR="00A0531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376AA5">
        <w:rPr>
          <w:rFonts w:ascii="Arial" w:hAnsi="Arial" w:cs="Arial"/>
          <w:b/>
          <w:bCs/>
          <w:sz w:val="24"/>
          <w:szCs w:val="24"/>
          <w:lang w:eastAsia="en-US"/>
        </w:rPr>
        <w:t xml:space="preserve">του, </w:t>
      </w:r>
      <w:r w:rsidR="00311ACC" w:rsidRPr="008136A3">
        <w:rPr>
          <w:rFonts w:ascii="Arial" w:hAnsi="Arial" w:cs="Arial"/>
          <w:b/>
          <w:bCs/>
          <w:sz w:val="24"/>
          <w:szCs w:val="24"/>
          <w:lang w:eastAsia="en-US"/>
        </w:rPr>
        <w:t>από</w:t>
      </w:r>
      <w:r w:rsidR="00E92E49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άλλον</w:t>
      </w:r>
      <w:r w:rsidR="00311ACC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(</w:t>
      </w:r>
      <w:r w:rsidR="00A05316">
        <w:rPr>
          <w:rFonts w:ascii="Arial" w:hAnsi="Arial" w:cs="Arial"/>
          <w:b/>
          <w:bCs/>
          <w:sz w:val="24"/>
          <w:szCs w:val="24"/>
          <w:lang w:eastAsia="en-US"/>
        </w:rPr>
        <w:t xml:space="preserve">άριστα </w:t>
      </w:r>
      <w:r w:rsidR="00311ACC" w:rsidRPr="008136A3">
        <w:rPr>
          <w:rFonts w:ascii="Arial" w:hAnsi="Arial" w:cs="Arial"/>
          <w:b/>
          <w:bCs/>
          <w:sz w:val="24"/>
          <w:szCs w:val="24"/>
          <w:lang w:eastAsia="en-US"/>
        </w:rPr>
        <w:t>διαχειρίσιμο), υποψήφιο.</w:t>
      </w:r>
      <w:r w:rsidR="00311AC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77DC1" w:rsidRDefault="00311ACC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Αυτή είναι</w:t>
      </w:r>
      <w:r w:rsidR="008F5F8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05316">
        <w:rPr>
          <w:rFonts w:ascii="Arial" w:hAnsi="Arial" w:cs="Arial"/>
          <w:sz w:val="24"/>
          <w:szCs w:val="24"/>
          <w:lang w:eastAsia="en-US"/>
        </w:rPr>
        <w:t xml:space="preserve">συνάδελφοι </w:t>
      </w:r>
      <w:r>
        <w:rPr>
          <w:rFonts w:ascii="Arial" w:hAnsi="Arial" w:cs="Arial"/>
          <w:sz w:val="24"/>
          <w:szCs w:val="24"/>
          <w:lang w:eastAsia="en-US"/>
        </w:rPr>
        <w:t>η κατάντια της μεγάλης Παράταξης, που τόσα και τόσα έχει προσφέρει</w:t>
      </w:r>
      <w:r w:rsidR="00A05316">
        <w:rPr>
          <w:rFonts w:ascii="Arial" w:hAnsi="Arial" w:cs="Arial"/>
          <w:sz w:val="24"/>
          <w:szCs w:val="24"/>
          <w:lang w:eastAsia="en-US"/>
        </w:rPr>
        <w:t xml:space="preserve"> με τους αγώνες της </w:t>
      </w:r>
      <w:r>
        <w:rPr>
          <w:rFonts w:ascii="Arial" w:hAnsi="Arial" w:cs="Arial"/>
          <w:sz w:val="24"/>
          <w:szCs w:val="24"/>
          <w:lang w:eastAsia="en-US"/>
        </w:rPr>
        <w:t>όλα αυτά τα χρόνια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. </w:t>
      </w:r>
    </w:p>
    <w:p w:rsidR="00877187" w:rsidRPr="008136A3" w:rsidRDefault="00311ACC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Να διοικείται από μια </w:t>
      </w:r>
      <w:r w:rsidR="00376AA5" w:rsidRPr="008136A3">
        <w:rPr>
          <w:rFonts w:ascii="Arial" w:hAnsi="Arial" w:cs="Arial"/>
          <w:b/>
          <w:bCs/>
          <w:sz w:val="24"/>
          <w:szCs w:val="24"/>
          <w:lang w:eastAsia="en-US"/>
        </w:rPr>
        <w:t>κλειστή</w:t>
      </w:r>
      <w:r w:rsidR="00376AA5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376AA5" w:rsidRPr="008136A3">
        <w:rPr>
          <w:rFonts w:ascii="Arial" w:hAnsi="Arial" w:cs="Arial"/>
          <w:b/>
          <w:bCs/>
          <w:sz w:val="24"/>
          <w:szCs w:val="24"/>
          <w:lang w:eastAsia="en-US"/>
        </w:rPr>
        <w:t>ομαδούλα</w:t>
      </w:r>
      <w:r w:rsidR="00376AA5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="00B944AB">
        <w:rPr>
          <w:rFonts w:ascii="Arial" w:hAnsi="Arial" w:cs="Arial"/>
          <w:b/>
          <w:bCs/>
          <w:sz w:val="24"/>
          <w:szCs w:val="24"/>
          <w:lang w:eastAsia="en-US"/>
        </w:rPr>
        <w:t xml:space="preserve">ιδεολογικά και βιολογικά </w:t>
      </w:r>
      <w:r w:rsidR="00093723">
        <w:rPr>
          <w:rFonts w:ascii="Arial" w:hAnsi="Arial" w:cs="Arial"/>
          <w:b/>
          <w:bCs/>
          <w:sz w:val="24"/>
          <w:szCs w:val="24"/>
          <w:lang w:eastAsia="en-US"/>
        </w:rPr>
        <w:t>ξεπερασμένη</w:t>
      </w:r>
      <w:r w:rsidR="00A05316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περιχαρακωμένη </w:t>
      </w:r>
      <w:r w:rsidR="00877187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και γαντζωμένη από τις καρέκλες </w:t>
      </w:r>
      <w:r w:rsidR="00376AA5">
        <w:rPr>
          <w:rFonts w:ascii="Arial" w:hAnsi="Arial" w:cs="Arial"/>
          <w:b/>
          <w:bCs/>
          <w:sz w:val="24"/>
          <w:szCs w:val="24"/>
          <w:lang w:eastAsia="en-US"/>
        </w:rPr>
        <w:t xml:space="preserve">της </w:t>
      </w:r>
      <w:r w:rsidR="00877187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(ένα βήμα πριν τη συνταξιοδότησή της), η οποία 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αποφασίζει σύμφωνα με τα προσωπικά της </w:t>
      </w:r>
      <w:r w:rsidR="00877187" w:rsidRPr="008136A3">
        <w:rPr>
          <w:rFonts w:ascii="Arial" w:hAnsi="Arial" w:cs="Arial"/>
          <w:b/>
          <w:bCs/>
          <w:sz w:val="24"/>
          <w:szCs w:val="24"/>
          <w:lang w:eastAsia="en-US"/>
        </w:rPr>
        <w:t>οφέλη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, αδιαφορώντας για το</w:t>
      </w:r>
      <w:r w:rsidR="00877187" w:rsidRPr="008136A3">
        <w:rPr>
          <w:rFonts w:ascii="Arial" w:hAnsi="Arial" w:cs="Arial"/>
          <w:b/>
          <w:bCs/>
          <w:sz w:val="24"/>
          <w:szCs w:val="24"/>
          <w:lang w:eastAsia="en-US"/>
        </w:rPr>
        <w:t>ν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θεσμικό</w:t>
      </w:r>
      <w:r w:rsidR="00376AA5">
        <w:rPr>
          <w:rFonts w:ascii="Arial" w:hAnsi="Arial" w:cs="Arial"/>
          <w:b/>
          <w:bCs/>
          <w:sz w:val="24"/>
          <w:szCs w:val="24"/>
          <w:lang w:eastAsia="en-US"/>
        </w:rPr>
        <w:t>/ι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δεολογικό της ρόλο</w:t>
      </w:r>
      <w:r w:rsidR="00877187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και τα συμφέροντα των συναδέλφων.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:rsidR="00A05316" w:rsidRDefault="00877187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Κλασικό παράδειγμα απόδειξης των παραπάνω ισχυρισμών </w:t>
      </w:r>
      <w:r w:rsidR="00B944AB">
        <w:rPr>
          <w:rFonts w:ascii="Arial" w:hAnsi="Arial" w:cs="Arial"/>
          <w:sz w:val="24"/>
          <w:szCs w:val="24"/>
          <w:lang w:eastAsia="en-US"/>
        </w:rPr>
        <w:t>αποτελεί</w:t>
      </w:r>
      <w:r>
        <w:rPr>
          <w:rFonts w:ascii="Arial" w:hAnsi="Arial" w:cs="Arial"/>
          <w:sz w:val="24"/>
          <w:szCs w:val="24"/>
          <w:lang w:eastAsia="en-US"/>
        </w:rPr>
        <w:t xml:space="preserve"> και το γεγονός 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ότι ενώ η θητεία του παρόντος Δ.Σ. έχει λήξ</w:t>
      </w:r>
      <w:r w:rsidR="00EF32A2" w:rsidRPr="008136A3">
        <w:rPr>
          <w:rFonts w:ascii="Arial" w:hAnsi="Arial" w:cs="Arial"/>
          <w:b/>
          <w:bCs/>
          <w:sz w:val="24"/>
          <w:szCs w:val="24"/>
          <w:lang w:eastAsia="en-US"/>
        </w:rPr>
        <w:t>ει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από τον περασμένο</w:t>
      </w:r>
      <w:r w:rsidR="00EF32A2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Απρίλιο, η απερχόμενη Πρόεδρος</w:t>
      </w:r>
      <w:r w:rsidR="006650D4" w:rsidRPr="008136A3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EF32A2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με πρόσχημα τον </w:t>
      </w:r>
      <w:r w:rsidR="00EF32A2" w:rsidRPr="008136A3">
        <w:rPr>
          <w:rFonts w:ascii="Arial" w:hAnsi="Arial" w:cs="Arial"/>
          <w:b/>
          <w:bCs/>
          <w:sz w:val="24"/>
          <w:szCs w:val="24"/>
          <w:lang w:val="en-US" w:eastAsia="en-US"/>
        </w:rPr>
        <w:t>Covid</w:t>
      </w:r>
      <w:r w:rsidR="00EF32A2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– 19, παρατείνει</w:t>
      </w:r>
      <w:r w:rsidR="008F5F8D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συνεχώς </w:t>
      </w:r>
      <w:r w:rsidR="00EF32A2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τη θητεία, εξυπηρετώντας τα προσωπικά της συμφέροντα, τα οποία έχει προφανώς ταυτίσει με τα συμφέροντα της Τράπεζας. </w:t>
      </w:r>
    </w:p>
    <w:p w:rsidR="008F5F8D" w:rsidRPr="008136A3" w:rsidRDefault="00EF32A2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Διότι, πώς αλλιώς μπορεί να χαρακτηριστεί η αδράνειά της να διεκδικήσει δυναμικά τις απώλειες των εισφορών, τόσο από το ΛΕΠΕΤΕ, όσο και από τις εθελούσιες εξόδους και</w:t>
      </w:r>
      <w:r w:rsidR="00A05316">
        <w:rPr>
          <w:rFonts w:ascii="Arial" w:hAnsi="Arial" w:cs="Arial"/>
          <w:b/>
          <w:bCs/>
          <w:sz w:val="24"/>
          <w:szCs w:val="24"/>
          <w:lang w:eastAsia="en-US"/>
        </w:rPr>
        <w:t xml:space="preserve"> σε συνεργασία</w:t>
      </w:r>
      <w:r w:rsidR="006650D4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με τα Σωματεία εργαζομένων και συνταξιούχων</w:t>
      </w:r>
      <w:r w:rsidR="00A05316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6650D4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να απαιτήσ</w:t>
      </w:r>
      <w:r w:rsidR="00A05316">
        <w:rPr>
          <w:rFonts w:ascii="Arial" w:hAnsi="Arial" w:cs="Arial"/>
          <w:b/>
          <w:bCs/>
          <w:sz w:val="24"/>
          <w:szCs w:val="24"/>
          <w:lang w:eastAsia="en-US"/>
        </w:rPr>
        <w:t>ει</w:t>
      </w:r>
      <w:r w:rsidR="006650D4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την υπογραφή Επιχειρησιακής Σύμβασης με ανταποδοτική «εισφορά», μετά από τη διενέργεια μελέτης βιωσιμότητας του ΤΥΠΕΤ και όχι με </w:t>
      </w:r>
      <w:r w:rsidR="006E3932" w:rsidRPr="008136A3">
        <w:rPr>
          <w:rFonts w:ascii="Arial" w:hAnsi="Arial" w:cs="Arial"/>
          <w:b/>
          <w:bCs/>
          <w:sz w:val="24"/>
          <w:szCs w:val="24"/>
          <w:lang w:eastAsia="en-US"/>
        </w:rPr>
        <w:t>νεφελώδη πλάνα αναδιοργάνωσης</w:t>
      </w:r>
      <w:r w:rsidR="00A05316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="006E3932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που κινούνται </w:t>
      </w:r>
      <w:r w:rsid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μόνο </w:t>
      </w:r>
      <w:r w:rsidR="006E3932" w:rsidRPr="008136A3">
        <w:rPr>
          <w:rFonts w:ascii="Arial" w:hAnsi="Arial" w:cs="Arial"/>
          <w:b/>
          <w:bCs/>
          <w:sz w:val="24"/>
          <w:szCs w:val="24"/>
          <w:lang w:eastAsia="en-US"/>
        </w:rPr>
        <w:t>προς την κατεύθυνση εξυπηρέτησης των συμφερόντων της Τράπεζας.</w:t>
      </w:r>
      <w:r w:rsidR="00827A34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:rsidR="006F2C82" w:rsidRDefault="006E3932" w:rsidP="00302B2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Από όλα αυτά η Πρόεδρος προτίμησε</w:t>
      </w:r>
      <w:r w:rsidR="00B944A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F5F8D">
        <w:rPr>
          <w:rFonts w:ascii="Arial" w:hAnsi="Arial" w:cs="Arial"/>
          <w:sz w:val="24"/>
          <w:szCs w:val="24"/>
          <w:lang w:eastAsia="en-US"/>
        </w:rPr>
        <w:t>τ</w:t>
      </w:r>
      <w:r w:rsidR="00B944AB">
        <w:rPr>
          <w:rFonts w:ascii="Arial" w:hAnsi="Arial" w:cs="Arial"/>
          <w:sz w:val="24"/>
          <w:szCs w:val="24"/>
          <w:lang w:eastAsia="en-US"/>
        </w:rPr>
        <w:t>ις</w:t>
      </w:r>
      <w:r w:rsidR="008F5F8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27A34">
        <w:rPr>
          <w:rFonts w:ascii="Arial" w:hAnsi="Arial" w:cs="Arial"/>
          <w:sz w:val="24"/>
          <w:szCs w:val="24"/>
          <w:lang w:eastAsia="en-US"/>
        </w:rPr>
        <w:t>δημόσιες σχέσεις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350CDF">
        <w:rPr>
          <w:rFonts w:ascii="Arial" w:hAnsi="Arial" w:cs="Arial"/>
          <w:sz w:val="24"/>
          <w:szCs w:val="24"/>
          <w:lang w:eastAsia="en-US"/>
        </w:rPr>
        <w:t xml:space="preserve">και τα </w:t>
      </w:r>
      <w:r w:rsidR="00B944AB">
        <w:rPr>
          <w:rFonts w:ascii="Arial" w:hAnsi="Arial" w:cs="Arial"/>
          <w:sz w:val="24"/>
          <w:szCs w:val="24"/>
          <w:lang w:eastAsia="en-US"/>
        </w:rPr>
        <w:t xml:space="preserve">προσωπικά </w:t>
      </w:r>
      <w:r w:rsidR="00350CDF">
        <w:rPr>
          <w:rFonts w:ascii="Arial" w:hAnsi="Arial" w:cs="Arial"/>
          <w:sz w:val="24"/>
          <w:szCs w:val="24"/>
          <w:lang w:eastAsia="en-US"/>
        </w:rPr>
        <w:t xml:space="preserve">αλισβερίσια </w:t>
      </w:r>
      <w:r>
        <w:rPr>
          <w:rFonts w:ascii="Arial" w:hAnsi="Arial" w:cs="Arial"/>
          <w:sz w:val="24"/>
          <w:szCs w:val="24"/>
          <w:lang w:eastAsia="en-US"/>
        </w:rPr>
        <w:t xml:space="preserve">με τη Διοίκηση, </w:t>
      </w:r>
      <w:r w:rsidR="00827A34">
        <w:rPr>
          <w:rFonts w:ascii="Arial" w:hAnsi="Arial" w:cs="Arial"/>
          <w:sz w:val="24"/>
          <w:szCs w:val="24"/>
          <w:lang w:eastAsia="en-US"/>
        </w:rPr>
        <w:t>λειτουργώντας ουσιαστικά ως εντολοδόχος της</w:t>
      </w:r>
      <w:r w:rsidR="00350CDF">
        <w:rPr>
          <w:rFonts w:ascii="Arial" w:hAnsi="Arial" w:cs="Arial"/>
          <w:sz w:val="24"/>
          <w:szCs w:val="24"/>
          <w:lang w:eastAsia="en-US"/>
        </w:rPr>
        <w:t>, με τη σιωπή, την ανοχή και τελικά τη συνενοχή των υπόλοιπων μελών του Δ.Σ. και των Παρατάξεών τους</w:t>
      </w:r>
      <w:r w:rsidR="00827A34">
        <w:rPr>
          <w:rFonts w:ascii="Arial" w:hAnsi="Arial" w:cs="Arial"/>
          <w:sz w:val="24"/>
          <w:szCs w:val="24"/>
          <w:lang w:eastAsia="en-US"/>
        </w:rPr>
        <w:t>.</w:t>
      </w:r>
      <w:r w:rsidR="006F2C82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8F5F8D" w:rsidRPr="00E92AC8" w:rsidRDefault="006F2C82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E92AC8">
        <w:rPr>
          <w:rFonts w:ascii="Arial" w:hAnsi="Arial" w:cs="Arial"/>
          <w:b/>
          <w:bCs/>
          <w:sz w:val="24"/>
          <w:szCs w:val="24"/>
          <w:lang w:eastAsia="en-US"/>
        </w:rPr>
        <w:t xml:space="preserve">Να είναι όμως όλοι βέβαιοι, ότι η </w:t>
      </w:r>
      <w:r w:rsidR="00E92AC8" w:rsidRPr="00E92AC8">
        <w:rPr>
          <w:rFonts w:ascii="Arial" w:hAnsi="Arial" w:cs="Arial"/>
          <w:b/>
          <w:bCs/>
          <w:sz w:val="24"/>
          <w:szCs w:val="24"/>
          <w:lang w:eastAsia="en-US"/>
        </w:rPr>
        <w:t>Δ</w:t>
      </w:r>
      <w:r w:rsidRPr="00E92AC8">
        <w:rPr>
          <w:rFonts w:ascii="Arial" w:hAnsi="Arial" w:cs="Arial"/>
          <w:b/>
          <w:bCs/>
          <w:sz w:val="24"/>
          <w:szCs w:val="24"/>
          <w:lang w:eastAsia="en-US"/>
        </w:rPr>
        <w:t>ικαιοσύνη θα ελέγξει τη νομιμότητα της</w:t>
      </w:r>
      <w:r w:rsidR="00E92AC8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A01528">
        <w:rPr>
          <w:rFonts w:ascii="Arial" w:hAnsi="Arial" w:cs="Arial"/>
          <w:b/>
          <w:bCs/>
          <w:sz w:val="24"/>
          <w:szCs w:val="24"/>
          <w:lang w:eastAsia="en-US"/>
        </w:rPr>
        <w:t xml:space="preserve">απόφασης για την </w:t>
      </w:r>
      <w:r w:rsidRPr="00E92AC8">
        <w:rPr>
          <w:rFonts w:ascii="Arial" w:hAnsi="Arial" w:cs="Arial"/>
          <w:b/>
          <w:bCs/>
          <w:sz w:val="24"/>
          <w:szCs w:val="24"/>
          <w:lang w:eastAsia="en-US"/>
        </w:rPr>
        <w:t xml:space="preserve">παράταση της θητείας του </w:t>
      </w:r>
      <w:r w:rsidR="00A01528">
        <w:rPr>
          <w:rFonts w:ascii="Arial" w:hAnsi="Arial" w:cs="Arial"/>
          <w:b/>
          <w:bCs/>
          <w:sz w:val="24"/>
          <w:szCs w:val="24"/>
          <w:lang w:eastAsia="en-US"/>
        </w:rPr>
        <w:t xml:space="preserve">παρόντος </w:t>
      </w:r>
      <w:r w:rsidRPr="00E92AC8">
        <w:rPr>
          <w:rFonts w:ascii="Arial" w:hAnsi="Arial" w:cs="Arial"/>
          <w:b/>
          <w:bCs/>
          <w:sz w:val="24"/>
          <w:szCs w:val="24"/>
          <w:lang w:eastAsia="en-US"/>
        </w:rPr>
        <w:t>Δ.Σ.,</w:t>
      </w:r>
      <w:r w:rsidR="00A01528">
        <w:rPr>
          <w:rFonts w:ascii="Arial" w:hAnsi="Arial" w:cs="Arial"/>
          <w:b/>
          <w:bCs/>
          <w:sz w:val="24"/>
          <w:szCs w:val="24"/>
          <w:lang w:eastAsia="en-US"/>
        </w:rPr>
        <w:t xml:space="preserve"> ενώ</w:t>
      </w:r>
      <w:r w:rsidRPr="00E92AC8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92AC8" w:rsidRPr="00E92AC8">
        <w:rPr>
          <w:rFonts w:ascii="Arial" w:hAnsi="Arial" w:cs="Arial"/>
          <w:b/>
          <w:bCs/>
          <w:sz w:val="24"/>
          <w:szCs w:val="24"/>
          <w:lang w:eastAsia="en-US"/>
        </w:rPr>
        <w:t xml:space="preserve">θα αναζητήσει και </w:t>
      </w:r>
      <w:r w:rsidR="00A01528">
        <w:rPr>
          <w:rFonts w:ascii="Arial" w:hAnsi="Arial" w:cs="Arial"/>
          <w:b/>
          <w:bCs/>
          <w:sz w:val="24"/>
          <w:szCs w:val="24"/>
          <w:lang w:eastAsia="en-US"/>
        </w:rPr>
        <w:t xml:space="preserve">ευθύνες για </w:t>
      </w:r>
      <w:r w:rsidR="00E92AC8" w:rsidRPr="00E92AC8">
        <w:rPr>
          <w:rFonts w:ascii="Arial" w:hAnsi="Arial" w:cs="Arial"/>
          <w:b/>
          <w:bCs/>
          <w:sz w:val="24"/>
          <w:szCs w:val="24"/>
          <w:lang w:eastAsia="en-US"/>
        </w:rPr>
        <w:t>τη</w:t>
      </w:r>
      <w:r w:rsidR="00A01528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92AC8" w:rsidRPr="00E92AC8">
        <w:rPr>
          <w:rFonts w:ascii="Arial" w:hAnsi="Arial" w:cs="Arial"/>
          <w:b/>
          <w:bCs/>
          <w:sz w:val="24"/>
          <w:szCs w:val="24"/>
          <w:lang w:eastAsia="en-US"/>
        </w:rPr>
        <w:t xml:space="preserve">σωστή εφαρμογή του άρθρου 10 παρ. 2 του Καταστατικού.  </w:t>
      </w:r>
      <w:r w:rsidRPr="00E92AC8">
        <w:rPr>
          <w:rFonts w:ascii="Arial" w:hAnsi="Arial" w:cs="Arial"/>
          <w:b/>
          <w:bCs/>
          <w:sz w:val="24"/>
          <w:szCs w:val="24"/>
          <w:lang w:eastAsia="en-US"/>
        </w:rPr>
        <w:t xml:space="preserve">  </w:t>
      </w:r>
      <w:r w:rsidR="00827A34" w:rsidRPr="00E92AC8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:rsidR="00093723" w:rsidRDefault="000B2A6F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A05316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Εμείς α</w:t>
      </w:r>
      <w:r w:rsidR="00827A34" w:rsidRPr="00A05316">
        <w:rPr>
          <w:rFonts w:ascii="Arial" w:hAnsi="Arial" w:cs="Arial"/>
          <w:b/>
          <w:bCs/>
          <w:sz w:val="24"/>
          <w:szCs w:val="24"/>
          <w:lang w:eastAsia="en-US"/>
        </w:rPr>
        <w:t>πό την πλευρά μας</w:t>
      </w:r>
      <w:r w:rsidR="00350CDF" w:rsidRPr="00A05316">
        <w:rPr>
          <w:rFonts w:ascii="Arial" w:hAnsi="Arial" w:cs="Arial"/>
          <w:b/>
          <w:bCs/>
          <w:sz w:val="24"/>
          <w:szCs w:val="24"/>
          <w:lang w:eastAsia="en-US"/>
        </w:rPr>
        <w:t xml:space="preserve">, ως ιδρυτικό </w:t>
      </w:r>
      <w:r w:rsidR="00CB12D2" w:rsidRPr="00A05316">
        <w:rPr>
          <w:rFonts w:ascii="Arial" w:hAnsi="Arial" w:cs="Arial"/>
          <w:b/>
          <w:bCs/>
          <w:sz w:val="24"/>
          <w:szCs w:val="24"/>
          <w:lang w:eastAsia="en-US"/>
        </w:rPr>
        <w:t>Σωματείο</w:t>
      </w:r>
      <w:r w:rsidR="00350CDF" w:rsidRPr="00A05316">
        <w:rPr>
          <w:rFonts w:ascii="Arial" w:hAnsi="Arial" w:cs="Arial"/>
          <w:b/>
          <w:bCs/>
          <w:sz w:val="24"/>
          <w:szCs w:val="24"/>
          <w:lang w:eastAsia="en-US"/>
        </w:rPr>
        <w:t xml:space="preserve"> του ΤΥΠΕΤ, </w:t>
      </w:r>
      <w:r w:rsidR="00827A34">
        <w:rPr>
          <w:rFonts w:ascii="Arial" w:hAnsi="Arial" w:cs="Arial"/>
          <w:sz w:val="24"/>
          <w:szCs w:val="24"/>
          <w:lang w:eastAsia="en-US"/>
        </w:rPr>
        <w:t xml:space="preserve"> δεν είμαστε διατεθειμένοι</w:t>
      </w:r>
      <w:r w:rsidR="00350C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27A34">
        <w:rPr>
          <w:rFonts w:ascii="Arial" w:hAnsi="Arial" w:cs="Arial"/>
          <w:sz w:val="24"/>
          <w:szCs w:val="24"/>
          <w:lang w:eastAsia="en-US"/>
        </w:rPr>
        <w:t xml:space="preserve">να </w:t>
      </w:r>
      <w:r w:rsidR="00350CDF">
        <w:rPr>
          <w:rFonts w:ascii="Arial" w:hAnsi="Arial" w:cs="Arial"/>
          <w:sz w:val="24"/>
          <w:szCs w:val="24"/>
          <w:lang w:eastAsia="en-US"/>
        </w:rPr>
        <w:t>μείνουμε με σταυρωμένα τα χέρια</w:t>
      </w:r>
      <w:r w:rsidR="00827A34">
        <w:rPr>
          <w:rFonts w:ascii="Arial" w:hAnsi="Arial" w:cs="Arial"/>
          <w:sz w:val="24"/>
          <w:szCs w:val="24"/>
          <w:lang w:eastAsia="en-US"/>
        </w:rPr>
        <w:t xml:space="preserve"> μπροστά σ</w:t>
      </w:r>
      <w:r w:rsidR="00350CDF">
        <w:rPr>
          <w:rFonts w:ascii="Arial" w:hAnsi="Arial" w:cs="Arial"/>
          <w:sz w:val="24"/>
          <w:szCs w:val="24"/>
          <w:lang w:eastAsia="en-US"/>
        </w:rPr>
        <w:t xml:space="preserve">την καταστροφή που έρχεται. </w:t>
      </w:r>
      <w:r w:rsidR="00350CDF" w:rsidRPr="008136A3">
        <w:rPr>
          <w:rFonts w:ascii="Arial" w:hAnsi="Arial" w:cs="Arial"/>
          <w:b/>
          <w:bCs/>
          <w:sz w:val="24"/>
          <w:szCs w:val="24"/>
          <w:lang w:eastAsia="en-US"/>
        </w:rPr>
        <w:t>Η προσχηματική απόφαση για την (απ’ αόριστον) παράταση της θητείας του Δ.Σ. του ΤΥΠΕΤ, ελέγχεται νομικά</w:t>
      </w:r>
      <w:r w:rsidR="00BB09A5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, αλλά </w:t>
      </w:r>
      <w:r w:rsidR="00350CDF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ακόμη κι αν δεχτούμε ότι ήταν αδύνατη η διεξαγωγή </w:t>
      </w:r>
      <w:r w:rsidR="00BB09A5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των </w:t>
      </w:r>
      <w:r w:rsidR="00350CDF" w:rsidRPr="008136A3">
        <w:rPr>
          <w:rFonts w:ascii="Arial" w:hAnsi="Arial" w:cs="Arial"/>
          <w:b/>
          <w:bCs/>
          <w:sz w:val="24"/>
          <w:szCs w:val="24"/>
          <w:lang w:eastAsia="en-US"/>
        </w:rPr>
        <w:t>εκλογών</w:t>
      </w:r>
      <w:r w:rsidR="008F5F8D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(που δεν ήταν)</w:t>
      </w:r>
      <w:r w:rsidR="00350CDF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, αυτό από μόνο του δεν νομιμοποιεί ένα </w:t>
      </w:r>
      <w:r w:rsidR="00BB09A5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Συμβούλιο που έχει λήξει η θητεία του, να αποφασίζει και να δεσμεύει με τις αποφάσεις του, που έχουν μακροχρόνια ισχύ, τα επόμενα Δ.Σ. </w:t>
      </w:r>
    </w:p>
    <w:p w:rsidR="00A05316" w:rsidRDefault="00A54C02" w:rsidP="00302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Η </w:t>
      </w:r>
      <w:r w:rsidR="00093723">
        <w:rPr>
          <w:rFonts w:ascii="Arial" w:hAnsi="Arial" w:cs="Arial"/>
          <w:b/>
          <w:bCs/>
          <w:sz w:val="24"/>
          <w:szCs w:val="24"/>
          <w:lang w:eastAsia="en-US"/>
        </w:rPr>
        <w:t>Πρόεδρος - αν την χαρακτήριζαν δημοκρατικές ευαισθησίες - θα έ</w:t>
      </w:r>
      <w:r w:rsidR="00BB09A5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πρεπε αμέσως </w:t>
      </w:r>
      <w:r w:rsidR="00093723">
        <w:rPr>
          <w:rFonts w:ascii="Arial" w:hAnsi="Arial" w:cs="Arial"/>
          <w:b/>
          <w:bCs/>
          <w:sz w:val="24"/>
          <w:szCs w:val="24"/>
          <w:lang w:eastAsia="en-US"/>
        </w:rPr>
        <w:t xml:space="preserve">μόλις προέκυψε το πρόβλημα </w:t>
      </w:r>
      <w:r w:rsidR="00BB09A5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να </w:t>
      </w:r>
      <w:r w:rsidR="00093723">
        <w:rPr>
          <w:rFonts w:ascii="Arial" w:hAnsi="Arial" w:cs="Arial"/>
          <w:b/>
          <w:bCs/>
          <w:sz w:val="24"/>
          <w:szCs w:val="24"/>
          <w:lang w:eastAsia="en-US"/>
        </w:rPr>
        <w:t xml:space="preserve">προσφύγει από μόνη της στη Δικαιοσύνη και να ζητήσει </w:t>
      </w:r>
      <w:r w:rsidR="00B8106A">
        <w:rPr>
          <w:rFonts w:ascii="Arial" w:hAnsi="Arial" w:cs="Arial"/>
          <w:b/>
          <w:bCs/>
          <w:sz w:val="24"/>
          <w:szCs w:val="24"/>
          <w:lang w:eastAsia="en-US"/>
        </w:rPr>
        <w:t xml:space="preserve">νομιμοποίηση και </w:t>
      </w:r>
      <w:r w:rsidR="00BB09A5" w:rsidRPr="008136A3">
        <w:rPr>
          <w:rFonts w:ascii="Arial" w:hAnsi="Arial" w:cs="Arial"/>
          <w:b/>
          <w:bCs/>
          <w:sz w:val="24"/>
          <w:szCs w:val="24"/>
          <w:lang w:eastAsia="en-US"/>
        </w:rPr>
        <w:t>σύσταση αναλογικού Προεδρείου</w:t>
      </w:r>
      <w:r w:rsidR="00093723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BB09A5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το οποίο μέχρι τις εκλογές </w:t>
      </w:r>
      <w:r w:rsidR="004F2513" w:rsidRPr="008136A3">
        <w:rPr>
          <w:rFonts w:ascii="Arial" w:hAnsi="Arial" w:cs="Arial"/>
          <w:b/>
          <w:bCs/>
          <w:sz w:val="24"/>
          <w:szCs w:val="24"/>
          <w:lang w:eastAsia="en-US"/>
        </w:rPr>
        <w:t>θ</w:t>
      </w:r>
      <w:r w:rsidR="00BB09A5" w:rsidRPr="008136A3">
        <w:rPr>
          <w:rFonts w:ascii="Arial" w:hAnsi="Arial" w:cs="Arial"/>
          <w:b/>
          <w:bCs/>
          <w:sz w:val="24"/>
          <w:szCs w:val="24"/>
          <w:lang w:eastAsia="en-US"/>
        </w:rPr>
        <w:t>α διαχειρίζονταν απλά την καθημερινότητα</w:t>
      </w:r>
      <w:r w:rsidR="004F2513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του Οργανισμού</w:t>
      </w:r>
      <w:r w:rsidR="00BB09A5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. </w:t>
      </w:r>
    </w:p>
    <w:p w:rsidR="00376B05" w:rsidRDefault="00BB09A5" w:rsidP="00302B2A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  <w:lang w:eastAsia="en-US"/>
        </w:rPr>
      </w:pP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Είναι η «αλφαβήτα» της Δημοκρατίας, για όσους το έχουν ξεχάσει.</w:t>
      </w:r>
    </w:p>
    <w:p w:rsidR="00A05316" w:rsidRPr="00376B05" w:rsidRDefault="004F2513" w:rsidP="00302B2A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CE190A" w:rsidRDefault="004F2513" w:rsidP="00302B2A">
      <w:pPr>
        <w:spacing w:line="360" w:lineRule="auto"/>
        <w:jc w:val="both"/>
        <w:rPr>
          <w:rFonts w:ascii="Arial" w:hAnsi="Arial" w:cs="Arial"/>
          <w:sz w:val="10"/>
          <w:szCs w:val="10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Στο πλαίσιο αυτό, ο Σύλλογός μας, μαζί με άλλες υγιείς δυνάμεις που αναπτύσσονται</w:t>
      </w:r>
      <w:r w:rsidR="00376AA5"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 xml:space="preserve">συντάσσονται </w:t>
      </w:r>
      <w:r w:rsidR="005A666A">
        <w:rPr>
          <w:rFonts w:ascii="Arial" w:hAnsi="Arial" w:cs="Arial"/>
          <w:sz w:val="24"/>
          <w:szCs w:val="24"/>
          <w:lang w:eastAsia="en-US"/>
        </w:rPr>
        <w:t>και συναθροίζονται</w:t>
      </w:r>
      <w:r>
        <w:rPr>
          <w:rFonts w:ascii="Arial" w:hAnsi="Arial" w:cs="Arial"/>
          <w:sz w:val="24"/>
          <w:szCs w:val="24"/>
          <w:lang w:eastAsia="en-US"/>
        </w:rPr>
        <w:t>, θα κηρ</w:t>
      </w:r>
      <w:r w:rsidR="005A666A">
        <w:rPr>
          <w:rFonts w:ascii="Arial" w:hAnsi="Arial" w:cs="Arial"/>
          <w:sz w:val="24"/>
          <w:szCs w:val="24"/>
          <w:lang w:eastAsia="en-US"/>
        </w:rPr>
        <w:t xml:space="preserve">ύξει πανστρατιά ενημέρωσης </w:t>
      </w:r>
      <w:r>
        <w:rPr>
          <w:rFonts w:ascii="Arial" w:hAnsi="Arial" w:cs="Arial"/>
          <w:sz w:val="24"/>
          <w:szCs w:val="24"/>
          <w:lang w:eastAsia="en-US"/>
        </w:rPr>
        <w:t>των συναδέλφων</w:t>
      </w:r>
      <w:r w:rsidR="00BF791C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προκειμένου να προασπίσουμε όλοι μαζί το</w:t>
      </w:r>
      <w:r w:rsidR="005A666A">
        <w:rPr>
          <w:rFonts w:ascii="Arial" w:hAnsi="Arial" w:cs="Arial"/>
          <w:sz w:val="24"/>
          <w:szCs w:val="24"/>
          <w:lang w:eastAsia="en-US"/>
        </w:rPr>
        <w:t>υς μοναδικούς θεσμούς</w:t>
      </w:r>
      <w:r>
        <w:rPr>
          <w:rFonts w:ascii="Arial" w:hAnsi="Arial" w:cs="Arial"/>
          <w:sz w:val="24"/>
          <w:szCs w:val="24"/>
          <w:lang w:eastAsia="en-US"/>
        </w:rPr>
        <w:t xml:space="preserve"> που μας έχει απομείνει.</w:t>
      </w:r>
    </w:p>
    <w:p w:rsidR="00CB12D2" w:rsidRPr="00CE190A" w:rsidRDefault="004F2513" w:rsidP="00302B2A">
      <w:pPr>
        <w:spacing w:line="360" w:lineRule="auto"/>
        <w:jc w:val="both"/>
        <w:rPr>
          <w:rFonts w:ascii="Arial" w:hAnsi="Arial" w:cs="Arial"/>
          <w:sz w:val="10"/>
          <w:szCs w:val="10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A544A" w:rsidRPr="008136A3" w:rsidRDefault="004F2513" w:rsidP="004F251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Η ΥΓΕΙΑ </w:t>
      </w:r>
      <w:r w:rsidR="005A666A">
        <w:rPr>
          <w:rFonts w:ascii="Arial" w:hAnsi="Arial" w:cs="Arial"/>
          <w:b/>
          <w:bCs/>
          <w:sz w:val="24"/>
          <w:szCs w:val="24"/>
          <w:lang w:eastAsia="en-US"/>
        </w:rPr>
        <w:t xml:space="preserve">ΚΑΙ ΤΟ ΕΦΑΠΑΞ ΔΕΝ ΕΧΟΥΝ </w:t>
      </w:r>
      <w:r w:rsidRPr="008136A3">
        <w:rPr>
          <w:rFonts w:ascii="Arial" w:hAnsi="Arial" w:cs="Arial"/>
          <w:b/>
          <w:bCs/>
          <w:sz w:val="24"/>
          <w:szCs w:val="24"/>
          <w:lang w:eastAsia="en-US"/>
        </w:rPr>
        <w:t>ΧΡΩΜΑ, ΣΥΛΛΟΓΟ, ΠΑΡΑΤΑΞΗ, ΚΟΜΜΑ</w:t>
      </w:r>
    </w:p>
    <w:p w:rsidR="00CE190A" w:rsidRDefault="005A666A" w:rsidP="00CE190A">
      <w:pPr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ΜΑΣ ΑΦΟΡΟΥΝ</w:t>
      </w:r>
      <w:r w:rsidR="004F2513" w:rsidRPr="008136A3">
        <w:rPr>
          <w:rFonts w:ascii="Arial" w:hAnsi="Arial" w:cs="Arial"/>
          <w:b/>
          <w:bCs/>
          <w:sz w:val="24"/>
          <w:szCs w:val="24"/>
          <w:lang w:eastAsia="en-US"/>
        </w:rPr>
        <w:t xml:space="preserve"> ΟΛΟΥΣ ΤΟ ΙΔΙΟ</w:t>
      </w:r>
    </w:p>
    <w:p w:rsidR="00CE190A" w:rsidRPr="00CE190A" w:rsidRDefault="00CE190A" w:rsidP="00CE190A">
      <w:pPr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eastAsia="en-US"/>
        </w:rPr>
      </w:pPr>
    </w:p>
    <w:p w:rsidR="00CE190A" w:rsidRDefault="00995EE2" w:rsidP="00CE190A">
      <w:pPr>
        <w:spacing w:line="360" w:lineRule="auto"/>
        <w:jc w:val="right"/>
        <w:rPr>
          <w:rFonts w:ascii="Arial" w:hAnsi="Arial" w:cs="Arial"/>
          <w:sz w:val="10"/>
          <w:szCs w:val="10"/>
          <w:lang w:eastAsia="en-US"/>
        </w:rPr>
      </w:pPr>
      <w:r w:rsidRPr="00995EE2">
        <w:rPr>
          <w:rFonts w:ascii="Arial" w:hAnsi="Arial" w:cs="Arial"/>
          <w:sz w:val="24"/>
          <w:szCs w:val="24"/>
          <w:lang w:eastAsia="en-US"/>
        </w:rPr>
        <w:t xml:space="preserve">Αθήνα, </w:t>
      </w:r>
      <w:r w:rsidR="008400F8">
        <w:rPr>
          <w:rFonts w:ascii="Arial" w:hAnsi="Arial" w:cs="Arial"/>
          <w:sz w:val="24"/>
          <w:szCs w:val="24"/>
          <w:lang w:eastAsia="en-US"/>
        </w:rPr>
        <w:t>12 Νοεμβρίου</w:t>
      </w:r>
      <w:r w:rsidRPr="00995EE2">
        <w:rPr>
          <w:rFonts w:ascii="Arial" w:hAnsi="Arial" w:cs="Arial"/>
          <w:sz w:val="24"/>
          <w:szCs w:val="24"/>
          <w:lang w:eastAsia="en-US"/>
        </w:rPr>
        <w:t xml:space="preserve"> 2020</w:t>
      </w:r>
    </w:p>
    <w:p w:rsidR="00CE190A" w:rsidRPr="00CE190A" w:rsidRDefault="00CE190A" w:rsidP="00CE190A">
      <w:pPr>
        <w:spacing w:line="360" w:lineRule="auto"/>
        <w:jc w:val="right"/>
        <w:rPr>
          <w:rFonts w:ascii="Arial" w:hAnsi="Arial" w:cs="Arial"/>
          <w:sz w:val="10"/>
          <w:szCs w:val="10"/>
          <w:lang w:eastAsia="en-US"/>
        </w:rPr>
      </w:pPr>
    </w:p>
    <w:p w:rsidR="002B0122" w:rsidRPr="006A3B6E" w:rsidRDefault="006A5687" w:rsidP="00D40BD1">
      <w:pPr>
        <w:jc w:val="center"/>
        <w:rPr>
          <w:rFonts w:ascii="Arial" w:hAnsi="Arial" w:cs="Arial"/>
          <w:b/>
          <w:sz w:val="24"/>
          <w:szCs w:val="24"/>
        </w:rPr>
      </w:pPr>
      <w:r w:rsidRPr="00402402">
        <w:rPr>
          <w:rFonts w:ascii="Arial" w:hAnsi="Arial" w:cs="Arial"/>
          <w:b/>
          <w:sz w:val="24"/>
          <w:szCs w:val="24"/>
        </w:rPr>
        <w:t xml:space="preserve"> </w:t>
      </w:r>
      <w:r w:rsidR="002B0122" w:rsidRPr="006A3B6E">
        <w:rPr>
          <w:rFonts w:ascii="Arial" w:hAnsi="Arial" w:cs="Arial"/>
          <w:b/>
          <w:sz w:val="24"/>
          <w:szCs w:val="24"/>
        </w:rPr>
        <w:t>Για το Δ.Σ.</w:t>
      </w:r>
    </w:p>
    <w:p w:rsidR="002637BE" w:rsidRDefault="00EE0D3E" w:rsidP="004457B1">
      <w:pPr>
        <w:pStyle w:val="1"/>
        <w:jc w:val="center"/>
        <w:rPr>
          <w:sz w:val="24"/>
          <w:szCs w:val="24"/>
        </w:rPr>
      </w:pPr>
      <w:r w:rsidRPr="006A3B6E">
        <w:rPr>
          <w:sz w:val="24"/>
          <w:szCs w:val="24"/>
        </w:rPr>
        <w:t xml:space="preserve">          </w:t>
      </w:r>
      <w:r w:rsidR="00EE0F48" w:rsidRPr="006A3B6E">
        <w:rPr>
          <w:sz w:val="24"/>
          <w:szCs w:val="24"/>
        </w:rPr>
        <w:t xml:space="preserve">  </w:t>
      </w:r>
      <w:r w:rsidR="0008331A">
        <w:rPr>
          <w:sz w:val="24"/>
          <w:szCs w:val="24"/>
        </w:rPr>
        <w:t xml:space="preserve">      </w:t>
      </w:r>
      <w:r w:rsidR="00EE0F48" w:rsidRPr="006A3B6E">
        <w:rPr>
          <w:sz w:val="24"/>
          <w:szCs w:val="24"/>
        </w:rPr>
        <w:t xml:space="preserve"> </w:t>
      </w:r>
      <w:r w:rsidRPr="006A3B6E">
        <w:rPr>
          <w:sz w:val="24"/>
          <w:szCs w:val="24"/>
        </w:rPr>
        <w:t>Ο Π</w:t>
      </w:r>
      <w:r w:rsidR="002B0122" w:rsidRPr="006A3B6E">
        <w:rPr>
          <w:sz w:val="24"/>
          <w:szCs w:val="24"/>
        </w:rPr>
        <w:t xml:space="preserve">ρόεδρος   </w:t>
      </w:r>
      <w:r w:rsidR="00FC26BB" w:rsidRPr="006A3B6E">
        <w:rPr>
          <w:sz w:val="24"/>
          <w:szCs w:val="24"/>
        </w:rPr>
        <w:t xml:space="preserve">                      </w:t>
      </w:r>
      <w:r w:rsidR="00974B13" w:rsidRPr="006A3B6E">
        <w:rPr>
          <w:sz w:val="24"/>
          <w:szCs w:val="24"/>
        </w:rPr>
        <w:t xml:space="preserve">       </w:t>
      </w:r>
      <w:r w:rsidR="0008331A">
        <w:rPr>
          <w:sz w:val="24"/>
          <w:szCs w:val="24"/>
        </w:rPr>
        <w:t xml:space="preserve">           </w:t>
      </w:r>
      <w:r w:rsidR="00FC26BB" w:rsidRPr="006A3B6E">
        <w:rPr>
          <w:sz w:val="24"/>
          <w:szCs w:val="24"/>
        </w:rPr>
        <w:t xml:space="preserve">Ο </w:t>
      </w:r>
      <w:r w:rsidR="00ED05BE" w:rsidRPr="006A3B6E">
        <w:rPr>
          <w:sz w:val="24"/>
          <w:szCs w:val="24"/>
        </w:rPr>
        <w:t>Γενικός</w:t>
      </w:r>
      <w:r w:rsidR="002B0122" w:rsidRPr="006A3B6E">
        <w:rPr>
          <w:sz w:val="24"/>
          <w:szCs w:val="24"/>
        </w:rPr>
        <w:t xml:space="preserve"> Γραμματέας</w:t>
      </w:r>
    </w:p>
    <w:p w:rsidR="00CB12D2" w:rsidRDefault="00CB12D2" w:rsidP="00CB12D2"/>
    <w:p w:rsidR="0008331A" w:rsidRDefault="0008331A" w:rsidP="002B0122">
      <w:pPr>
        <w:rPr>
          <w:rFonts w:ascii="Arial" w:hAnsi="Arial" w:cs="Arial"/>
          <w:b/>
          <w:sz w:val="24"/>
          <w:szCs w:val="24"/>
        </w:rPr>
      </w:pPr>
    </w:p>
    <w:p w:rsidR="002B0122" w:rsidRPr="006A3B6E" w:rsidRDefault="0008331A" w:rsidP="002B01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CB12D2">
        <w:rPr>
          <w:rFonts w:ascii="Arial" w:hAnsi="Arial" w:cs="Arial"/>
          <w:b/>
          <w:sz w:val="24"/>
          <w:szCs w:val="24"/>
        </w:rPr>
        <w:t xml:space="preserve">  </w:t>
      </w:r>
      <w:r w:rsidR="00EE0D3E" w:rsidRPr="006A3B6E">
        <w:rPr>
          <w:rFonts w:ascii="Arial" w:hAnsi="Arial" w:cs="Arial"/>
          <w:b/>
          <w:sz w:val="24"/>
          <w:szCs w:val="24"/>
        </w:rPr>
        <w:t>Νίκος Παπαϊωάννου</w:t>
      </w:r>
      <w:r w:rsidR="002B0122" w:rsidRPr="006A3B6E">
        <w:rPr>
          <w:rFonts w:ascii="Arial" w:hAnsi="Arial" w:cs="Arial"/>
          <w:b/>
          <w:sz w:val="24"/>
          <w:szCs w:val="24"/>
        </w:rPr>
        <w:t xml:space="preserve">         </w:t>
      </w:r>
      <w:r w:rsidR="00FC26BB" w:rsidRPr="006A3B6E">
        <w:rPr>
          <w:rFonts w:ascii="Arial" w:hAnsi="Arial" w:cs="Arial"/>
          <w:b/>
          <w:sz w:val="24"/>
          <w:szCs w:val="24"/>
        </w:rPr>
        <w:t xml:space="preserve">       </w:t>
      </w:r>
      <w:r w:rsidR="00825003" w:rsidRPr="006A3B6E">
        <w:rPr>
          <w:rFonts w:ascii="Arial" w:hAnsi="Arial" w:cs="Arial"/>
          <w:b/>
          <w:sz w:val="24"/>
          <w:szCs w:val="24"/>
        </w:rPr>
        <w:t xml:space="preserve">    </w:t>
      </w:r>
      <w:r w:rsidR="0055540C" w:rsidRPr="006A3B6E">
        <w:rPr>
          <w:rFonts w:ascii="Arial" w:hAnsi="Arial" w:cs="Arial"/>
          <w:b/>
          <w:sz w:val="24"/>
          <w:szCs w:val="24"/>
        </w:rPr>
        <w:t xml:space="preserve">       </w:t>
      </w:r>
      <w:r w:rsidR="006A3B6E">
        <w:rPr>
          <w:rFonts w:ascii="Arial" w:hAnsi="Arial" w:cs="Arial"/>
          <w:b/>
          <w:sz w:val="24"/>
          <w:szCs w:val="24"/>
        </w:rPr>
        <w:t xml:space="preserve">   </w:t>
      </w:r>
      <w:r w:rsidR="00ED2A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302B2A">
        <w:rPr>
          <w:rFonts w:ascii="Arial" w:hAnsi="Arial" w:cs="Arial"/>
          <w:b/>
          <w:sz w:val="24"/>
          <w:szCs w:val="24"/>
        </w:rPr>
        <w:t xml:space="preserve"> </w:t>
      </w:r>
      <w:r w:rsidR="006A3B6E">
        <w:rPr>
          <w:rFonts w:ascii="Arial" w:hAnsi="Arial" w:cs="Arial"/>
          <w:b/>
          <w:sz w:val="24"/>
          <w:szCs w:val="24"/>
        </w:rPr>
        <w:t>Νίκος Καρζής</w:t>
      </w:r>
    </w:p>
    <w:sectPr w:rsidR="002B0122" w:rsidRPr="006A3B6E" w:rsidSect="00457262">
      <w:footerReference w:type="default" r:id="rId11"/>
      <w:pgSz w:w="11906" w:h="16838"/>
      <w:pgMar w:top="709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1C" w:rsidRDefault="0018091C" w:rsidP="00ED05BE">
      <w:r>
        <w:separator/>
      </w:r>
    </w:p>
  </w:endnote>
  <w:endnote w:type="continuationSeparator" w:id="0">
    <w:p w:rsidR="0018091C" w:rsidRDefault="0018091C" w:rsidP="00ED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40641"/>
      <w:docPartObj>
        <w:docPartGallery w:val="Page Numbers (Bottom of Page)"/>
        <w:docPartUnique/>
      </w:docPartObj>
    </w:sdtPr>
    <w:sdtEndPr/>
    <w:sdtContent>
      <w:p w:rsidR="0008331A" w:rsidRDefault="000833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24">
          <w:rPr>
            <w:noProof/>
          </w:rPr>
          <w:t>1</w:t>
        </w:r>
        <w:r>
          <w:fldChar w:fldCharType="end"/>
        </w:r>
      </w:p>
    </w:sdtContent>
  </w:sdt>
  <w:p w:rsidR="0008331A" w:rsidRDefault="000833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1C" w:rsidRDefault="0018091C" w:rsidP="00ED05BE">
      <w:r>
        <w:separator/>
      </w:r>
    </w:p>
  </w:footnote>
  <w:footnote w:type="continuationSeparator" w:id="0">
    <w:p w:rsidR="0018091C" w:rsidRDefault="0018091C" w:rsidP="00ED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4DE2"/>
    <w:multiLevelType w:val="hybridMultilevel"/>
    <w:tmpl w:val="55A06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0793"/>
    <w:multiLevelType w:val="hybridMultilevel"/>
    <w:tmpl w:val="80B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4DB9"/>
    <w:multiLevelType w:val="hybridMultilevel"/>
    <w:tmpl w:val="3CF8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2597"/>
    <w:multiLevelType w:val="hybridMultilevel"/>
    <w:tmpl w:val="409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5F"/>
    <w:rsid w:val="00020A12"/>
    <w:rsid w:val="0002294D"/>
    <w:rsid w:val="000328BE"/>
    <w:rsid w:val="000335FE"/>
    <w:rsid w:val="00037EFF"/>
    <w:rsid w:val="00050F67"/>
    <w:rsid w:val="00071624"/>
    <w:rsid w:val="000732ED"/>
    <w:rsid w:val="0008331A"/>
    <w:rsid w:val="00093723"/>
    <w:rsid w:val="00095B7B"/>
    <w:rsid w:val="000A1A0B"/>
    <w:rsid w:val="000B1E89"/>
    <w:rsid w:val="000B2A6F"/>
    <w:rsid w:val="000C16D9"/>
    <w:rsid w:val="000D09C3"/>
    <w:rsid w:val="000E2BCD"/>
    <w:rsid w:val="000E2DF8"/>
    <w:rsid w:val="000E656D"/>
    <w:rsid w:val="000E74C6"/>
    <w:rsid w:val="0010052F"/>
    <w:rsid w:val="001079F1"/>
    <w:rsid w:val="00111F7D"/>
    <w:rsid w:val="001158F8"/>
    <w:rsid w:val="001169DC"/>
    <w:rsid w:val="00122C99"/>
    <w:rsid w:val="00130C79"/>
    <w:rsid w:val="001367D8"/>
    <w:rsid w:val="00146B15"/>
    <w:rsid w:val="00153CC6"/>
    <w:rsid w:val="00154BC4"/>
    <w:rsid w:val="00173F85"/>
    <w:rsid w:val="0018091C"/>
    <w:rsid w:val="00186E49"/>
    <w:rsid w:val="00186FD8"/>
    <w:rsid w:val="001878E5"/>
    <w:rsid w:val="001A11CF"/>
    <w:rsid w:val="001A235F"/>
    <w:rsid w:val="001B029A"/>
    <w:rsid w:val="001B6900"/>
    <w:rsid w:val="001C6A35"/>
    <w:rsid w:val="001D34FF"/>
    <w:rsid w:val="001F7D6E"/>
    <w:rsid w:val="002056F2"/>
    <w:rsid w:val="00225E08"/>
    <w:rsid w:val="002266FF"/>
    <w:rsid w:val="0023089F"/>
    <w:rsid w:val="002321C3"/>
    <w:rsid w:val="00240F6B"/>
    <w:rsid w:val="00242A06"/>
    <w:rsid w:val="002503ED"/>
    <w:rsid w:val="00262E46"/>
    <w:rsid w:val="002637BE"/>
    <w:rsid w:val="00276E27"/>
    <w:rsid w:val="00280538"/>
    <w:rsid w:val="002922A7"/>
    <w:rsid w:val="002A544A"/>
    <w:rsid w:val="002A7709"/>
    <w:rsid w:val="002A7A2E"/>
    <w:rsid w:val="002B0122"/>
    <w:rsid w:val="002B064D"/>
    <w:rsid w:val="002C050D"/>
    <w:rsid w:val="002D196F"/>
    <w:rsid w:val="002D3706"/>
    <w:rsid w:val="002F2BC1"/>
    <w:rsid w:val="002F523C"/>
    <w:rsid w:val="002F637B"/>
    <w:rsid w:val="003016CB"/>
    <w:rsid w:val="00302B2A"/>
    <w:rsid w:val="00311ACC"/>
    <w:rsid w:val="003168F0"/>
    <w:rsid w:val="003215E1"/>
    <w:rsid w:val="00321AAC"/>
    <w:rsid w:val="00326DCE"/>
    <w:rsid w:val="0033292F"/>
    <w:rsid w:val="00340DA1"/>
    <w:rsid w:val="00350163"/>
    <w:rsid w:val="00350CDF"/>
    <w:rsid w:val="00361A15"/>
    <w:rsid w:val="00362514"/>
    <w:rsid w:val="003676D1"/>
    <w:rsid w:val="00376AA5"/>
    <w:rsid w:val="00376B05"/>
    <w:rsid w:val="003829F4"/>
    <w:rsid w:val="00384D16"/>
    <w:rsid w:val="003977F8"/>
    <w:rsid w:val="003C4446"/>
    <w:rsid w:val="003C4A15"/>
    <w:rsid w:val="003D0D7A"/>
    <w:rsid w:val="003D3BF4"/>
    <w:rsid w:val="003D454F"/>
    <w:rsid w:val="003E5C95"/>
    <w:rsid w:val="003E7A2B"/>
    <w:rsid w:val="00400884"/>
    <w:rsid w:val="00402402"/>
    <w:rsid w:val="00416CC4"/>
    <w:rsid w:val="004211E9"/>
    <w:rsid w:val="00432D6B"/>
    <w:rsid w:val="004450FF"/>
    <w:rsid w:val="004457B1"/>
    <w:rsid w:val="004549BE"/>
    <w:rsid w:val="00455A39"/>
    <w:rsid w:val="00456DA6"/>
    <w:rsid w:val="00457262"/>
    <w:rsid w:val="00461A36"/>
    <w:rsid w:val="00461AE0"/>
    <w:rsid w:val="00462011"/>
    <w:rsid w:val="0046585A"/>
    <w:rsid w:val="00470340"/>
    <w:rsid w:val="0048719B"/>
    <w:rsid w:val="00490229"/>
    <w:rsid w:val="00491D5F"/>
    <w:rsid w:val="004A44FD"/>
    <w:rsid w:val="004B10F6"/>
    <w:rsid w:val="004E70E5"/>
    <w:rsid w:val="004F2513"/>
    <w:rsid w:val="004F7E6C"/>
    <w:rsid w:val="00505118"/>
    <w:rsid w:val="00510FAD"/>
    <w:rsid w:val="00512397"/>
    <w:rsid w:val="005162DE"/>
    <w:rsid w:val="00524788"/>
    <w:rsid w:val="00524B43"/>
    <w:rsid w:val="0053642C"/>
    <w:rsid w:val="005446CA"/>
    <w:rsid w:val="00546FBA"/>
    <w:rsid w:val="0055540C"/>
    <w:rsid w:val="005565B8"/>
    <w:rsid w:val="0056792C"/>
    <w:rsid w:val="005712C6"/>
    <w:rsid w:val="00573084"/>
    <w:rsid w:val="00580DA5"/>
    <w:rsid w:val="00593E04"/>
    <w:rsid w:val="00596532"/>
    <w:rsid w:val="005A666A"/>
    <w:rsid w:val="005B008B"/>
    <w:rsid w:val="005B23DD"/>
    <w:rsid w:val="005B701C"/>
    <w:rsid w:val="005D1DC8"/>
    <w:rsid w:val="005E66EA"/>
    <w:rsid w:val="005E7C56"/>
    <w:rsid w:val="005F01CF"/>
    <w:rsid w:val="005F0E7C"/>
    <w:rsid w:val="0060023D"/>
    <w:rsid w:val="0060432D"/>
    <w:rsid w:val="006067AA"/>
    <w:rsid w:val="0061499B"/>
    <w:rsid w:val="00621AD6"/>
    <w:rsid w:val="0062638E"/>
    <w:rsid w:val="006320D9"/>
    <w:rsid w:val="0064706C"/>
    <w:rsid w:val="00656869"/>
    <w:rsid w:val="006650D4"/>
    <w:rsid w:val="006778D5"/>
    <w:rsid w:val="00681D9E"/>
    <w:rsid w:val="0068234F"/>
    <w:rsid w:val="00690881"/>
    <w:rsid w:val="006979CE"/>
    <w:rsid w:val="006A3B6E"/>
    <w:rsid w:val="006A5687"/>
    <w:rsid w:val="006A5AC5"/>
    <w:rsid w:val="006D0780"/>
    <w:rsid w:val="006D4036"/>
    <w:rsid w:val="006D776B"/>
    <w:rsid w:val="006E1C51"/>
    <w:rsid w:val="006E3932"/>
    <w:rsid w:val="006F05EC"/>
    <w:rsid w:val="006F166B"/>
    <w:rsid w:val="006F2199"/>
    <w:rsid w:val="006F2C82"/>
    <w:rsid w:val="0070012E"/>
    <w:rsid w:val="00700881"/>
    <w:rsid w:val="00707161"/>
    <w:rsid w:val="00713D13"/>
    <w:rsid w:val="007165CA"/>
    <w:rsid w:val="007215CE"/>
    <w:rsid w:val="00726126"/>
    <w:rsid w:val="00727E02"/>
    <w:rsid w:val="00741DF5"/>
    <w:rsid w:val="0074407A"/>
    <w:rsid w:val="007530B1"/>
    <w:rsid w:val="007724B9"/>
    <w:rsid w:val="00783A61"/>
    <w:rsid w:val="00785A51"/>
    <w:rsid w:val="007A653F"/>
    <w:rsid w:val="007C2436"/>
    <w:rsid w:val="007D4F67"/>
    <w:rsid w:val="007F61C0"/>
    <w:rsid w:val="0080319E"/>
    <w:rsid w:val="00806775"/>
    <w:rsid w:val="008136A3"/>
    <w:rsid w:val="00825003"/>
    <w:rsid w:val="00827A34"/>
    <w:rsid w:val="008326A4"/>
    <w:rsid w:val="008400F8"/>
    <w:rsid w:val="008405C7"/>
    <w:rsid w:val="00857DD0"/>
    <w:rsid w:val="00864716"/>
    <w:rsid w:val="00866D98"/>
    <w:rsid w:val="00867ADD"/>
    <w:rsid w:val="00870C91"/>
    <w:rsid w:val="00877187"/>
    <w:rsid w:val="00877C53"/>
    <w:rsid w:val="008804AA"/>
    <w:rsid w:val="0088104D"/>
    <w:rsid w:val="00887F49"/>
    <w:rsid w:val="00891672"/>
    <w:rsid w:val="008A05AD"/>
    <w:rsid w:val="008A7E8C"/>
    <w:rsid w:val="008B62ED"/>
    <w:rsid w:val="008C5CE5"/>
    <w:rsid w:val="008F5A67"/>
    <w:rsid w:val="008F5F8D"/>
    <w:rsid w:val="008F7574"/>
    <w:rsid w:val="00904A15"/>
    <w:rsid w:val="00907AA5"/>
    <w:rsid w:val="0092268A"/>
    <w:rsid w:val="00942734"/>
    <w:rsid w:val="00944D19"/>
    <w:rsid w:val="00946CBD"/>
    <w:rsid w:val="00950379"/>
    <w:rsid w:val="00952713"/>
    <w:rsid w:val="0095374B"/>
    <w:rsid w:val="009635D9"/>
    <w:rsid w:val="0097008F"/>
    <w:rsid w:val="00974B13"/>
    <w:rsid w:val="00977DC1"/>
    <w:rsid w:val="00981AFF"/>
    <w:rsid w:val="009867B5"/>
    <w:rsid w:val="00986BD7"/>
    <w:rsid w:val="00992182"/>
    <w:rsid w:val="00992D8B"/>
    <w:rsid w:val="00995EE2"/>
    <w:rsid w:val="009A0076"/>
    <w:rsid w:val="009D2991"/>
    <w:rsid w:val="009D7CD9"/>
    <w:rsid w:val="009E2F44"/>
    <w:rsid w:val="009F0ECB"/>
    <w:rsid w:val="009F368B"/>
    <w:rsid w:val="009F4920"/>
    <w:rsid w:val="009F524B"/>
    <w:rsid w:val="009F59D0"/>
    <w:rsid w:val="00A00985"/>
    <w:rsid w:val="00A0110B"/>
    <w:rsid w:val="00A01528"/>
    <w:rsid w:val="00A05316"/>
    <w:rsid w:val="00A12C9D"/>
    <w:rsid w:val="00A15CB8"/>
    <w:rsid w:val="00A17FB4"/>
    <w:rsid w:val="00A20C82"/>
    <w:rsid w:val="00A24FC6"/>
    <w:rsid w:val="00A2555A"/>
    <w:rsid w:val="00A268B1"/>
    <w:rsid w:val="00A268CC"/>
    <w:rsid w:val="00A27270"/>
    <w:rsid w:val="00A339D0"/>
    <w:rsid w:val="00A40F95"/>
    <w:rsid w:val="00A52461"/>
    <w:rsid w:val="00A54C02"/>
    <w:rsid w:val="00A56AF3"/>
    <w:rsid w:val="00A62C53"/>
    <w:rsid w:val="00A70D4E"/>
    <w:rsid w:val="00A839B7"/>
    <w:rsid w:val="00A867FE"/>
    <w:rsid w:val="00A90B10"/>
    <w:rsid w:val="00A930AE"/>
    <w:rsid w:val="00A97DC6"/>
    <w:rsid w:val="00AA35EB"/>
    <w:rsid w:val="00AA56D8"/>
    <w:rsid w:val="00AA6C32"/>
    <w:rsid w:val="00AB3174"/>
    <w:rsid w:val="00AC735F"/>
    <w:rsid w:val="00AD12C8"/>
    <w:rsid w:val="00AD7F85"/>
    <w:rsid w:val="00AE16CF"/>
    <w:rsid w:val="00AE225C"/>
    <w:rsid w:val="00AF4F7B"/>
    <w:rsid w:val="00B07159"/>
    <w:rsid w:val="00B4627E"/>
    <w:rsid w:val="00B75544"/>
    <w:rsid w:val="00B8106A"/>
    <w:rsid w:val="00B86B09"/>
    <w:rsid w:val="00B90492"/>
    <w:rsid w:val="00B944AB"/>
    <w:rsid w:val="00B9482F"/>
    <w:rsid w:val="00B955B5"/>
    <w:rsid w:val="00B96CB4"/>
    <w:rsid w:val="00BA3F81"/>
    <w:rsid w:val="00BB09A5"/>
    <w:rsid w:val="00BB2FD6"/>
    <w:rsid w:val="00BC29AE"/>
    <w:rsid w:val="00BD651F"/>
    <w:rsid w:val="00BD7EAF"/>
    <w:rsid w:val="00BE0358"/>
    <w:rsid w:val="00BF42CB"/>
    <w:rsid w:val="00BF791C"/>
    <w:rsid w:val="00C13F25"/>
    <w:rsid w:val="00C17CEF"/>
    <w:rsid w:val="00C55503"/>
    <w:rsid w:val="00C73495"/>
    <w:rsid w:val="00C73526"/>
    <w:rsid w:val="00C8253C"/>
    <w:rsid w:val="00C93F49"/>
    <w:rsid w:val="00CB0EDA"/>
    <w:rsid w:val="00CB12D2"/>
    <w:rsid w:val="00CC3050"/>
    <w:rsid w:val="00CC74DE"/>
    <w:rsid w:val="00CD1298"/>
    <w:rsid w:val="00CD4D70"/>
    <w:rsid w:val="00CE190A"/>
    <w:rsid w:val="00CE1C5F"/>
    <w:rsid w:val="00CE2C6E"/>
    <w:rsid w:val="00CF5EE4"/>
    <w:rsid w:val="00CF6124"/>
    <w:rsid w:val="00D0130C"/>
    <w:rsid w:val="00D017DB"/>
    <w:rsid w:val="00D05ABF"/>
    <w:rsid w:val="00D05E9B"/>
    <w:rsid w:val="00D26398"/>
    <w:rsid w:val="00D32C73"/>
    <w:rsid w:val="00D34CB8"/>
    <w:rsid w:val="00D40BD1"/>
    <w:rsid w:val="00D63053"/>
    <w:rsid w:val="00D642A3"/>
    <w:rsid w:val="00D678B0"/>
    <w:rsid w:val="00D715CD"/>
    <w:rsid w:val="00D7189A"/>
    <w:rsid w:val="00D80811"/>
    <w:rsid w:val="00D81038"/>
    <w:rsid w:val="00D83A1F"/>
    <w:rsid w:val="00D84D82"/>
    <w:rsid w:val="00DA59C8"/>
    <w:rsid w:val="00DB0B06"/>
    <w:rsid w:val="00DB315E"/>
    <w:rsid w:val="00DB4A9E"/>
    <w:rsid w:val="00DC06D0"/>
    <w:rsid w:val="00DC12C3"/>
    <w:rsid w:val="00DE3E1A"/>
    <w:rsid w:val="00DF678F"/>
    <w:rsid w:val="00E02E51"/>
    <w:rsid w:val="00E043A5"/>
    <w:rsid w:val="00E06124"/>
    <w:rsid w:val="00E369BB"/>
    <w:rsid w:val="00E54433"/>
    <w:rsid w:val="00E637DB"/>
    <w:rsid w:val="00E7108F"/>
    <w:rsid w:val="00E72CE0"/>
    <w:rsid w:val="00E92AC8"/>
    <w:rsid w:val="00E92E49"/>
    <w:rsid w:val="00EA46F0"/>
    <w:rsid w:val="00EB150A"/>
    <w:rsid w:val="00EC05E7"/>
    <w:rsid w:val="00EC6F78"/>
    <w:rsid w:val="00EC7326"/>
    <w:rsid w:val="00ED05BE"/>
    <w:rsid w:val="00ED2AD5"/>
    <w:rsid w:val="00EE0D3E"/>
    <w:rsid w:val="00EE0F48"/>
    <w:rsid w:val="00EF32A2"/>
    <w:rsid w:val="00F03DF3"/>
    <w:rsid w:val="00F06F25"/>
    <w:rsid w:val="00F11F43"/>
    <w:rsid w:val="00F17C17"/>
    <w:rsid w:val="00F22098"/>
    <w:rsid w:val="00F25101"/>
    <w:rsid w:val="00F40880"/>
    <w:rsid w:val="00F41F35"/>
    <w:rsid w:val="00F47BDF"/>
    <w:rsid w:val="00F555CB"/>
    <w:rsid w:val="00F62126"/>
    <w:rsid w:val="00F6240F"/>
    <w:rsid w:val="00F73DA7"/>
    <w:rsid w:val="00F77580"/>
    <w:rsid w:val="00F77D2D"/>
    <w:rsid w:val="00F81BEA"/>
    <w:rsid w:val="00F86704"/>
    <w:rsid w:val="00F9365E"/>
    <w:rsid w:val="00FA2F89"/>
    <w:rsid w:val="00FA31F3"/>
    <w:rsid w:val="00FB2056"/>
    <w:rsid w:val="00FB4112"/>
    <w:rsid w:val="00FB7D94"/>
    <w:rsid w:val="00FB7F19"/>
    <w:rsid w:val="00FC26BB"/>
    <w:rsid w:val="00FE2395"/>
    <w:rsid w:val="00FE64FC"/>
    <w:rsid w:val="00FF0F5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921ECC-21F5-4DB5-95BD-6FFBB9BF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5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2B012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9A00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7BD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"/>
    <w:rsid w:val="00974B1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5"/>
    <w:rsid w:val="00974B1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rsid w:val="00ED05BE"/>
  </w:style>
  <w:style w:type="character" w:customStyle="1" w:styleId="Char0">
    <w:name w:val="Κείμενο υποσημείωσης Char"/>
    <w:basedOn w:val="a0"/>
    <w:link w:val="a6"/>
    <w:rsid w:val="00ED05BE"/>
  </w:style>
  <w:style w:type="character" w:styleId="a7">
    <w:name w:val="footnote reference"/>
    <w:rsid w:val="00ED05BE"/>
    <w:rPr>
      <w:vertAlign w:val="superscript"/>
    </w:rPr>
  </w:style>
  <w:style w:type="character" w:customStyle="1" w:styleId="st">
    <w:name w:val="st"/>
    <w:basedOn w:val="a0"/>
    <w:rsid w:val="0033292F"/>
  </w:style>
  <w:style w:type="character" w:styleId="a8">
    <w:name w:val="Emphasis"/>
    <w:basedOn w:val="a0"/>
    <w:uiPriority w:val="20"/>
    <w:qFormat/>
    <w:rsid w:val="0033292F"/>
    <w:rPr>
      <w:i/>
      <w:iCs/>
    </w:rPr>
  </w:style>
  <w:style w:type="character" w:styleId="a9">
    <w:name w:val="annotation reference"/>
    <w:basedOn w:val="a0"/>
    <w:semiHidden/>
    <w:unhideWhenUsed/>
    <w:rsid w:val="006D0780"/>
    <w:rPr>
      <w:sz w:val="16"/>
      <w:szCs w:val="16"/>
    </w:rPr>
  </w:style>
  <w:style w:type="paragraph" w:styleId="aa">
    <w:name w:val="annotation text"/>
    <w:basedOn w:val="a"/>
    <w:link w:val="Char1"/>
    <w:semiHidden/>
    <w:unhideWhenUsed/>
    <w:rsid w:val="006D0780"/>
  </w:style>
  <w:style w:type="character" w:customStyle="1" w:styleId="Char1">
    <w:name w:val="Κείμενο σχολίου Char"/>
    <w:basedOn w:val="a0"/>
    <w:link w:val="aa"/>
    <w:semiHidden/>
    <w:rsid w:val="006D0780"/>
  </w:style>
  <w:style w:type="paragraph" w:styleId="ab">
    <w:name w:val="annotation subject"/>
    <w:basedOn w:val="aa"/>
    <w:next w:val="aa"/>
    <w:link w:val="Char2"/>
    <w:semiHidden/>
    <w:unhideWhenUsed/>
    <w:rsid w:val="006D0780"/>
    <w:rPr>
      <w:b/>
      <w:bCs/>
    </w:rPr>
  </w:style>
  <w:style w:type="character" w:customStyle="1" w:styleId="Char2">
    <w:name w:val="Θέμα σχολίου Char"/>
    <w:basedOn w:val="Char1"/>
    <w:link w:val="ab"/>
    <w:semiHidden/>
    <w:rsid w:val="006D0780"/>
    <w:rPr>
      <w:b/>
      <w:bCs/>
    </w:rPr>
  </w:style>
  <w:style w:type="character" w:customStyle="1" w:styleId="1Char">
    <w:name w:val="Επικεφαλίδα 1 Char"/>
    <w:basedOn w:val="a0"/>
    <w:link w:val="1"/>
    <w:rsid w:val="0008331A"/>
    <w:rPr>
      <w:rFonts w:ascii="Arial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08331A"/>
    <w:pPr>
      <w:ind w:left="720"/>
      <w:contextualSpacing/>
    </w:pPr>
  </w:style>
  <w:style w:type="paragraph" w:styleId="ad">
    <w:name w:val="header"/>
    <w:basedOn w:val="a"/>
    <w:link w:val="Char3"/>
    <w:unhideWhenUsed/>
    <w:rsid w:val="0008331A"/>
    <w:pPr>
      <w:tabs>
        <w:tab w:val="center" w:pos="4680"/>
        <w:tab w:val="right" w:pos="9360"/>
      </w:tabs>
    </w:pPr>
  </w:style>
  <w:style w:type="character" w:customStyle="1" w:styleId="Char3">
    <w:name w:val="Κεφαλίδα Char"/>
    <w:basedOn w:val="a0"/>
    <w:link w:val="ad"/>
    <w:rsid w:val="0008331A"/>
  </w:style>
  <w:style w:type="paragraph" w:styleId="ae">
    <w:name w:val="footer"/>
    <w:basedOn w:val="a"/>
    <w:link w:val="Char4"/>
    <w:uiPriority w:val="99"/>
    <w:unhideWhenUsed/>
    <w:rsid w:val="0008331A"/>
    <w:pPr>
      <w:tabs>
        <w:tab w:val="center" w:pos="4680"/>
        <w:tab w:val="right" w:pos="9360"/>
      </w:tabs>
    </w:pPr>
  </w:style>
  <w:style w:type="character" w:customStyle="1" w:styleId="Char4">
    <w:name w:val="Υποσέλιδο Char"/>
    <w:basedOn w:val="a0"/>
    <w:link w:val="ae"/>
    <w:uiPriority w:val="99"/>
    <w:rsid w:val="0008331A"/>
  </w:style>
  <w:style w:type="character" w:customStyle="1" w:styleId="acopre">
    <w:name w:val="acopre"/>
    <w:basedOn w:val="a0"/>
    <w:rsid w:val="001B6900"/>
  </w:style>
  <w:style w:type="character" w:customStyle="1" w:styleId="2Char">
    <w:name w:val="Επικεφαλίδα 2 Char"/>
    <w:basedOn w:val="a0"/>
    <w:link w:val="2"/>
    <w:rsid w:val="009A00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-">
    <w:name w:val="Hyperlink"/>
    <w:basedOn w:val="a0"/>
    <w:unhideWhenUsed/>
    <w:rsid w:val="00C82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ytate@otene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tat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CDB35-8150-49B4-81C0-CD08932B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SYTATE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SYTATE_1</dc:creator>
  <cp:lastModifiedBy>Sytate1</cp:lastModifiedBy>
  <cp:revision>2</cp:revision>
  <cp:lastPrinted>2020-11-12T12:43:00Z</cp:lastPrinted>
  <dcterms:created xsi:type="dcterms:W3CDTF">2020-12-07T08:40:00Z</dcterms:created>
  <dcterms:modified xsi:type="dcterms:W3CDTF">2020-12-07T08:40:00Z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{126F2BDF-E3A9-4085-8D98-5272E276F0F8}</vt:lpwstr>
  </property>
  <property fmtid="{D5CDD505-2E9C-101B-9397-08002B2CF9AE}" pid="3" name="DLPManualFileClassificationLastModifiedBy">
    <vt:lpwstr>BANK\e27232</vt:lpwstr>
  </property>
  <property fmtid="{D5CDD505-2E9C-101B-9397-08002B2CF9AE}" pid="4" name="DLPManualFileClassificationLastModificationDate">
    <vt:lpwstr>1598247644</vt:lpwstr>
  </property>
  <property fmtid="{D5CDD505-2E9C-101B-9397-08002B2CF9AE}" pid="5" name="DLPManualFileClassificationVersion">
    <vt:lpwstr>10.0.300.68</vt:lpwstr>
  </property>
</Properties>
</file>